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B44" w:rsidRPr="003D06D1" w:rsidRDefault="00532B44" w:rsidP="00F5706C">
      <w:pPr>
        <w:spacing w:line="480" w:lineRule="auto"/>
      </w:pPr>
      <w:bookmarkStart w:id="0" w:name="_GoBack"/>
      <w:bookmarkEnd w:id="0"/>
    </w:p>
    <w:p w:rsidR="00F7240C" w:rsidRPr="003D06D1" w:rsidRDefault="00F7240C" w:rsidP="00C20B4F">
      <w:pPr>
        <w:ind w:left="360"/>
        <w:rPr>
          <w:rFonts w:ascii="Century Gothic" w:hAnsi="Century Gothic"/>
          <w:b/>
        </w:rPr>
      </w:pPr>
    </w:p>
    <w:p w:rsidR="00A64237" w:rsidRDefault="00660F4D" w:rsidP="001506A0">
      <w:pPr>
        <w:rPr>
          <w:rFonts w:ascii="Century Gothic" w:hAnsi="Century Gothic"/>
          <w:b/>
        </w:rPr>
      </w:pPr>
      <w:r w:rsidRPr="00660F4D">
        <w:rPr>
          <w:noProof/>
          <w:lang w:eastAsia="zh-CN"/>
        </w:rPr>
        <w:drawing>
          <wp:inline distT="0" distB="0" distL="0" distR="0">
            <wp:extent cx="5486400" cy="779145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486400" cy="7791450"/>
                    </a:xfrm>
                    <a:prstGeom prst="rect">
                      <a:avLst/>
                    </a:prstGeom>
                    <a:noFill/>
                    <a:ln w="9525">
                      <a:noFill/>
                      <a:miter lim="800000"/>
                      <a:headEnd/>
                      <a:tailEnd/>
                    </a:ln>
                  </pic:spPr>
                </pic:pic>
              </a:graphicData>
            </a:graphic>
          </wp:inline>
        </w:drawing>
      </w:r>
    </w:p>
    <w:p w:rsidR="00C97A5D" w:rsidRPr="003D06D1" w:rsidRDefault="006E532C" w:rsidP="001506A0">
      <w:pPr>
        <w:rPr>
          <w:rFonts w:ascii="Century Gothic" w:hAnsi="Century Gothic"/>
          <w:b/>
        </w:rPr>
      </w:pPr>
      <w:r w:rsidRPr="003D06D1">
        <w:rPr>
          <w:rFonts w:ascii="Century Gothic" w:hAnsi="Century Gothic"/>
          <w:b/>
        </w:rPr>
        <w:t>Note</w:t>
      </w:r>
      <w:r w:rsidR="00E61DDD" w:rsidRPr="003D06D1">
        <w:rPr>
          <w:rFonts w:ascii="Century Gothic" w:hAnsi="Century Gothic"/>
          <w:b/>
        </w:rPr>
        <w:t>s</w:t>
      </w:r>
      <w:r w:rsidRPr="003D06D1">
        <w:rPr>
          <w:rFonts w:ascii="Century Gothic" w:hAnsi="Century Gothic"/>
          <w:b/>
        </w:rPr>
        <w:t>:</w:t>
      </w:r>
    </w:p>
    <w:p w:rsidR="006E532C" w:rsidRPr="003D06D1" w:rsidRDefault="006E532C" w:rsidP="00C20B4F">
      <w:pPr>
        <w:ind w:left="360"/>
        <w:rPr>
          <w:i/>
        </w:rPr>
      </w:pPr>
    </w:p>
    <w:p w:rsidR="005734F5" w:rsidRDefault="005734F5" w:rsidP="00AF24B6">
      <w:pPr>
        <w:ind w:right="346"/>
        <w:jc w:val="both"/>
        <w:rPr>
          <w:rFonts w:ascii="Century Gothic" w:hAnsi="Century Gothic"/>
          <w:i/>
        </w:rPr>
      </w:pPr>
      <w:r w:rsidRPr="003D06D1">
        <w:rPr>
          <w:rFonts w:ascii="Century Gothic" w:hAnsi="Century Gothic"/>
          <w:i/>
        </w:rPr>
        <w:t>The Condensed Consolidated Statements of Financial Position</w:t>
      </w:r>
      <w:r w:rsidR="00C97A5D" w:rsidRPr="003D06D1">
        <w:rPr>
          <w:rFonts w:ascii="Century Gothic" w:hAnsi="Century Gothic"/>
          <w:i/>
        </w:rPr>
        <w:t xml:space="preserve"> should be read in conjunction with the Notes to Interim Financial Reports and the </w:t>
      </w:r>
      <w:r w:rsidR="00160AB9">
        <w:rPr>
          <w:rFonts w:ascii="Century Gothic" w:hAnsi="Century Gothic"/>
          <w:i/>
        </w:rPr>
        <w:t>a</w:t>
      </w:r>
      <w:r w:rsidR="00C97A5D" w:rsidRPr="003D06D1">
        <w:rPr>
          <w:rFonts w:ascii="Century Gothic" w:hAnsi="Century Gothic"/>
          <w:i/>
        </w:rPr>
        <w:t>udited financial statements of the Company for the finan</w:t>
      </w:r>
      <w:r w:rsidR="00734724" w:rsidRPr="003D06D1">
        <w:rPr>
          <w:rFonts w:ascii="Century Gothic" w:hAnsi="Century Gothic"/>
          <w:i/>
        </w:rPr>
        <w:t xml:space="preserve">cial </w:t>
      </w:r>
      <w:r w:rsidR="0062393A">
        <w:rPr>
          <w:rFonts w:ascii="Century Gothic" w:hAnsi="Century Gothic"/>
          <w:i/>
        </w:rPr>
        <w:t>period</w:t>
      </w:r>
      <w:r w:rsidR="00734724" w:rsidRPr="003D06D1">
        <w:rPr>
          <w:rFonts w:ascii="Century Gothic" w:hAnsi="Century Gothic"/>
          <w:i/>
        </w:rPr>
        <w:t xml:space="preserve"> ended </w:t>
      </w:r>
      <w:r w:rsidR="009C1FDB" w:rsidRPr="003D06D1">
        <w:rPr>
          <w:rFonts w:ascii="Century Gothic" w:hAnsi="Century Gothic"/>
          <w:i/>
        </w:rPr>
        <w:t>3</w:t>
      </w:r>
      <w:r w:rsidR="009371E7">
        <w:rPr>
          <w:rFonts w:ascii="Century Gothic" w:hAnsi="Century Gothic"/>
          <w:i/>
        </w:rPr>
        <w:t>0</w:t>
      </w:r>
      <w:r w:rsidR="009C1FDB" w:rsidRPr="003D06D1">
        <w:rPr>
          <w:rFonts w:ascii="Century Gothic" w:hAnsi="Century Gothic"/>
          <w:i/>
        </w:rPr>
        <w:t xml:space="preserve"> </w:t>
      </w:r>
      <w:r w:rsidR="009371E7">
        <w:rPr>
          <w:rFonts w:ascii="Century Gothic" w:hAnsi="Century Gothic"/>
          <w:i/>
        </w:rPr>
        <w:t>June</w:t>
      </w:r>
      <w:r w:rsidR="009C1FDB" w:rsidRPr="003D06D1">
        <w:rPr>
          <w:rFonts w:ascii="Century Gothic" w:hAnsi="Century Gothic"/>
          <w:i/>
        </w:rPr>
        <w:t xml:space="preserve"> 20</w:t>
      </w:r>
      <w:r w:rsidR="00160AB9">
        <w:rPr>
          <w:rFonts w:ascii="Century Gothic" w:hAnsi="Century Gothic"/>
          <w:i/>
        </w:rPr>
        <w:t>1</w:t>
      </w:r>
      <w:r w:rsidR="009371E7">
        <w:rPr>
          <w:rFonts w:ascii="Century Gothic" w:hAnsi="Century Gothic"/>
          <w:i/>
        </w:rPr>
        <w:t>5</w:t>
      </w:r>
      <w:r w:rsidR="00C97A5D" w:rsidRPr="003D06D1">
        <w:rPr>
          <w:rFonts w:ascii="Century Gothic" w:hAnsi="Century Gothic"/>
          <w:i/>
        </w:rPr>
        <w:t>.</w:t>
      </w:r>
    </w:p>
    <w:p w:rsidR="00AF37D2" w:rsidRDefault="00AF37D2" w:rsidP="00AF24B6">
      <w:pPr>
        <w:ind w:right="346"/>
        <w:jc w:val="both"/>
        <w:rPr>
          <w:rFonts w:ascii="Century Gothic" w:hAnsi="Century Gothic"/>
          <w:i/>
        </w:rPr>
      </w:pPr>
    </w:p>
    <w:p w:rsidR="006C5044" w:rsidRDefault="00660F4D" w:rsidP="00AF24B6">
      <w:pPr>
        <w:ind w:right="346"/>
        <w:jc w:val="both"/>
      </w:pPr>
      <w:r w:rsidRPr="00660F4D">
        <w:rPr>
          <w:noProof/>
          <w:lang w:eastAsia="zh-CN"/>
        </w:rPr>
        <w:drawing>
          <wp:inline distT="0" distB="0" distL="0" distR="0">
            <wp:extent cx="5996305" cy="7180449"/>
            <wp:effectExtent l="19050" t="0" r="444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996305" cy="7180449"/>
                    </a:xfrm>
                    <a:prstGeom prst="rect">
                      <a:avLst/>
                    </a:prstGeom>
                    <a:noFill/>
                    <a:ln w="9525">
                      <a:noFill/>
                      <a:miter lim="800000"/>
                      <a:headEnd/>
                      <a:tailEnd/>
                    </a:ln>
                  </pic:spPr>
                </pic:pic>
              </a:graphicData>
            </a:graphic>
          </wp:inline>
        </w:drawing>
      </w:r>
    </w:p>
    <w:p w:rsidR="002E3394" w:rsidRDefault="002E3394" w:rsidP="00AF24B6">
      <w:pPr>
        <w:ind w:right="346"/>
        <w:jc w:val="both"/>
      </w:pPr>
    </w:p>
    <w:p w:rsidR="002E3394" w:rsidRDefault="002E3394" w:rsidP="00AF24B6">
      <w:pPr>
        <w:ind w:right="346"/>
        <w:jc w:val="both"/>
      </w:pPr>
    </w:p>
    <w:p w:rsidR="002E3394" w:rsidRDefault="002E3394" w:rsidP="00AF24B6">
      <w:pPr>
        <w:ind w:right="346"/>
        <w:jc w:val="both"/>
      </w:pPr>
    </w:p>
    <w:p w:rsidR="002E3394" w:rsidRDefault="002E3394" w:rsidP="00AF24B6">
      <w:pPr>
        <w:ind w:right="346"/>
        <w:jc w:val="both"/>
      </w:pPr>
    </w:p>
    <w:p w:rsidR="002E3394" w:rsidRDefault="002E3394" w:rsidP="00AF24B6">
      <w:pPr>
        <w:ind w:right="346"/>
        <w:jc w:val="both"/>
      </w:pPr>
    </w:p>
    <w:p w:rsidR="002E3394" w:rsidRDefault="002E3394" w:rsidP="00AF24B6">
      <w:pPr>
        <w:ind w:right="346"/>
        <w:jc w:val="both"/>
      </w:pPr>
    </w:p>
    <w:p w:rsidR="002E3394" w:rsidRDefault="002E3394" w:rsidP="00AF24B6">
      <w:pPr>
        <w:ind w:right="346"/>
        <w:jc w:val="both"/>
      </w:pPr>
    </w:p>
    <w:p w:rsidR="002E3394" w:rsidRDefault="002E3394" w:rsidP="00AF24B6">
      <w:pPr>
        <w:ind w:right="346"/>
        <w:jc w:val="both"/>
      </w:pPr>
    </w:p>
    <w:p w:rsidR="002E3394" w:rsidRDefault="002E3394" w:rsidP="00AF24B6">
      <w:pPr>
        <w:ind w:right="346"/>
        <w:jc w:val="both"/>
      </w:pPr>
    </w:p>
    <w:p w:rsidR="002E3394" w:rsidRDefault="002E3394" w:rsidP="00AF24B6">
      <w:pPr>
        <w:ind w:right="346"/>
        <w:jc w:val="both"/>
      </w:pPr>
    </w:p>
    <w:p w:rsidR="002E3394" w:rsidRDefault="002E3394" w:rsidP="00AF24B6">
      <w:pPr>
        <w:ind w:right="346"/>
        <w:jc w:val="both"/>
      </w:pPr>
    </w:p>
    <w:p w:rsidR="002E3394" w:rsidRDefault="002E3394" w:rsidP="00AF24B6">
      <w:pPr>
        <w:ind w:right="346"/>
        <w:jc w:val="both"/>
      </w:pPr>
    </w:p>
    <w:p w:rsidR="002E3394" w:rsidRDefault="00660F4D" w:rsidP="00AF24B6">
      <w:pPr>
        <w:ind w:right="346"/>
        <w:jc w:val="both"/>
      </w:pPr>
      <w:r w:rsidRPr="00660F4D">
        <w:rPr>
          <w:noProof/>
          <w:lang w:eastAsia="zh-CN"/>
        </w:rPr>
        <w:lastRenderedPageBreak/>
        <w:drawing>
          <wp:inline distT="0" distB="0" distL="0" distR="0">
            <wp:extent cx="5996305" cy="4864771"/>
            <wp:effectExtent l="19050" t="0" r="444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996305" cy="4864771"/>
                    </a:xfrm>
                    <a:prstGeom prst="rect">
                      <a:avLst/>
                    </a:prstGeom>
                    <a:noFill/>
                    <a:ln w="9525">
                      <a:noFill/>
                      <a:miter lim="800000"/>
                      <a:headEnd/>
                      <a:tailEnd/>
                    </a:ln>
                  </pic:spPr>
                </pic:pic>
              </a:graphicData>
            </a:graphic>
          </wp:inline>
        </w:drawing>
      </w:r>
    </w:p>
    <w:p w:rsidR="006C5044" w:rsidRDefault="006C5044" w:rsidP="00AF24B6">
      <w:pPr>
        <w:ind w:right="346"/>
        <w:jc w:val="both"/>
      </w:pPr>
    </w:p>
    <w:p w:rsidR="006C5044" w:rsidRDefault="006C5044" w:rsidP="00AF24B6">
      <w:pPr>
        <w:ind w:right="346"/>
        <w:jc w:val="both"/>
      </w:pPr>
    </w:p>
    <w:p w:rsidR="006C5044" w:rsidRDefault="006C5044" w:rsidP="00AF24B6">
      <w:pPr>
        <w:ind w:right="346"/>
        <w:jc w:val="both"/>
      </w:pPr>
    </w:p>
    <w:p w:rsidR="006C5044" w:rsidRDefault="006C5044" w:rsidP="00AF24B6">
      <w:pPr>
        <w:ind w:right="346"/>
        <w:jc w:val="both"/>
      </w:pPr>
    </w:p>
    <w:p w:rsidR="006C5044" w:rsidRDefault="006C5044" w:rsidP="00AF24B6">
      <w:pPr>
        <w:ind w:right="346"/>
        <w:jc w:val="both"/>
      </w:pPr>
    </w:p>
    <w:p w:rsidR="002F56E6" w:rsidRDefault="002F56E6" w:rsidP="00E340AE">
      <w:pPr>
        <w:ind w:left="360"/>
        <w:jc w:val="both"/>
        <w:rPr>
          <w:rFonts w:ascii="Century Gothic" w:hAnsi="Century Gothic"/>
          <w:b/>
        </w:rPr>
      </w:pPr>
    </w:p>
    <w:p w:rsidR="002E3394" w:rsidRDefault="002E3394" w:rsidP="00E340AE">
      <w:pPr>
        <w:ind w:left="360"/>
        <w:jc w:val="both"/>
        <w:rPr>
          <w:rFonts w:ascii="Century Gothic" w:hAnsi="Century Gothic"/>
          <w:b/>
        </w:rPr>
      </w:pPr>
    </w:p>
    <w:p w:rsidR="002E3394" w:rsidRDefault="002E3394" w:rsidP="00E340AE">
      <w:pPr>
        <w:ind w:left="360"/>
        <w:jc w:val="both"/>
        <w:rPr>
          <w:rFonts w:ascii="Century Gothic" w:hAnsi="Century Gothic"/>
          <w:b/>
        </w:rPr>
      </w:pPr>
    </w:p>
    <w:p w:rsidR="002E3394" w:rsidRDefault="002E3394" w:rsidP="00E340AE">
      <w:pPr>
        <w:ind w:left="360"/>
        <w:jc w:val="both"/>
        <w:rPr>
          <w:rFonts w:ascii="Century Gothic" w:hAnsi="Century Gothic"/>
          <w:b/>
        </w:rPr>
      </w:pPr>
    </w:p>
    <w:p w:rsidR="002E3394" w:rsidRDefault="002E3394" w:rsidP="00E340AE">
      <w:pPr>
        <w:ind w:left="360"/>
        <w:jc w:val="both"/>
        <w:rPr>
          <w:rFonts w:ascii="Century Gothic" w:hAnsi="Century Gothic"/>
          <w:b/>
        </w:rPr>
      </w:pPr>
    </w:p>
    <w:p w:rsidR="002E3394" w:rsidRDefault="002E3394" w:rsidP="00E340AE">
      <w:pPr>
        <w:ind w:left="360"/>
        <w:jc w:val="both"/>
        <w:rPr>
          <w:rFonts w:ascii="Century Gothic" w:hAnsi="Century Gothic"/>
          <w:b/>
        </w:rPr>
      </w:pPr>
    </w:p>
    <w:p w:rsidR="002E3394" w:rsidRDefault="002E3394" w:rsidP="00E340AE">
      <w:pPr>
        <w:ind w:left="360"/>
        <w:jc w:val="both"/>
        <w:rPr>
          <w:rFonts w:ascii="Century Gothic" w:hAnsi="Century Gothic"/>
          <w:b/>
        </w:rPr>
      </w:pPr>
    </w:p>
    <w:p w:rsidR="002E3394" w:rsidRDefault="002E3394" w:rsidP="00E340AE">
      <w:pPr>
        <w:ind w:left="360"/>
        <w:jc w:val="both"/>
        <w:rPr>
          <w:rFonts w:ascii="Century Gothic" w:hAnsi="Century Gothic"/>
          <w:b/>
        </w:rPr>
      </w:pPr>
    </w:p>
    <w:p w:rsidR="002E3394" w:rsidRDefault="002E3394" w:rsidP="00E340AE">
      <w:pPr>
        <w:ind w:left="360"/>
        <w:jc w:val="both"/>
        <w:rPr>
          <w:rFonts w:ascii="Century Gothic" w:hAnsi="Century Gothic"/>
          <w:b/>
        </w:rPr>
      </w:pPr>
    </w:p>
    <w:p w:rsidR="002E3394" w:rsidRDefault="002E3394" w:rsidP="00E340AE">
      <w:pPr>
        <w:ind w:left="360"/>
        <w:jc w:val="both"/>
        <w:rPr>
          <w:rFonts w:ascii="Century Gothic" w:hAnsi="Century Gothic"/>
          <w:b/>
        </w:rPr>
      </w:pPr>
    </w:p>
    <w:p w:rsidR="002E3394" w:rsidRDefault="002E3394" w:rsidP="00E340AE">
      <w:pPr>
        <w:ind w:left="360"/>
        <w:jc w:val="both"/>
        <w:rPr>
          <w:rFonts w:ascii="Century Gothic" w:hAnsi="Century Gothic"/>
          <w:b/>
        </w:rPr>
      </w:pPr>
    </w:p>
    <w:p w:rsidR="002E3394" w:rsidRPr="003D06D1" w:rsidRDefault="002E3394" w:rsidP="00E340AE">
      <w:pPr>
        <w:ind w:left="360"/>
        <w:jc w:val="both"/>
        <w:rPr>
          <w:rFonts w:ascii="Century Gothic" w:hAnsi="Century Gothic"/>
          <w:b/>
        </w:rPr>
      </w:pPr>
    </w:p>
    <w:p w:rsidR="00043BDA" w:rsidRDefault="00043BDA" w:rsidP="00E340AE">
      <w:pPr>
        <w:ind w:left="360"/>
        <w:jc w:val="both"/>
        <w:rPr>
          <w:rFonts w:ascii="Century Gothic" w:hAnsi="Century Gothic"/>
          <w:b/>
        </w:rPr>
      </w:pPr>
    </w:p>
    <w:p w:rsidR="005734F5" w:rsidRPr="003D06D1" w:rsidRDefault="00A26AC3" w:rsidP="00E340AE">
      <w:pPr>
        <w:ind w:left="360"/>
        <w:jc w:val="both"/>
        <w:rPr>
          <w:rFonts w:ascii="Century Gothic" w:hAnsi="Century Gothic"/>
        </w:rPr>
      </w:pPr>
      <w:r w:rsidRPr="003D06D1">
        <w:rPr>
          <w:rFonts w:ascii="Century Gothic" w:hAnsi="Century Gothic"/>
          <w:b/>
        </w:rPr>
        <w:t>N</w:t>
      </w:r>
      <w:r w:rsidR="005734F5" w:rsidRPr="003D06D1">
        <w:rPr>
          <w:rFonts w:ascii="Century Gothic" w:hAnsi="Century Gothic"/>
          <w:b/>
        </w:rPr>
        <w:t>otes:</w:t>
      </w:r>
    </w:p>
    <w:p w:rsidR="005734F5" w:rsidRPr="003D06D1" w:rsidRDefault="005734F5" w:rsidP="00E340AE">
      <w:pPr>
        <w:ind w:left="360"/>
        <w:jc w:val="both"/>
        <w:rPr>
          <w:rFonts w:ascii="Century Gothic" w:hAnsi="Century Gothic"/>
          <w:i/>
        </w:rPr>
      </w:pPr>
    </w:p>
    <w:p w:rsidR="00E340AE" w:rsidRPr="003D06D1" w:rsidRDefault="00E340AE" w:rsidP="00E340AE">
      <w:pPr>
        <w:ind w:left="360"/>
        <w:jc w:val="both"/>
        <w:rPr>
          <w:rFonts w:ascii="Century Gothic" w:hAnsi="Century Gothic"/>
          <w:i/>
        </w:rPr>
      </w:pPr>
      <w:r w:rsidRPr="003D06D1">
        <w:rPr>
          <w:rFonts w:ascii="Century Gothic" w:hAnsi="Century Gothic"/>
          <w:i/>
        </w:rPr>
        <w:t>The Condensed Consolidated</w:t>
      </w:r>
      <w:r w:rsidR="00DB5660" w:rsidRPr="003D06D1">
        <w:rPr>
          <w:rFonts w:ascii="Century Gothic" w:hAnsi="Century Gothic"/>
          <w:i/>
        </w:rPr>
        <w:t xml:space="preserve"> Statement </w:t>
      </w:r>
      <w:r w:rsidR="000F2D94" w:rsidRPr="003D06D1">
        <w:rPr>
          <w:rFonts w:ascii="Century Gothic" w:hAnsi="Century Gothic"/>
          <w:i/>
        </w:rPr>
        <w:t>of</w:t>
      </w:r>
      <w:r w:rsidR="00DB5660" w:rsidRPr="003D06D1">
        <w:rPr>
          <w:rFonts w:ascii="Century Gothic" w:hAnsi="Century Gothic"/>
          <w:i/>
        </w:rPr>
        <w:t xml:space="preserve"> Comprehensive Income</w:t>
      </w:r>
      <w:r w:rsidRPr="003D06D1">
        <w:rPr>
          <w:rFonts w:ascii="Century Gothic" w:hAnsi="Century Gothic"/>
          <w:i/>
        </w:rPr>
        <w:t xml:space="preserve"> should be read in conjunction with the Notes to Interim Financial Reports and the audited financial statements of the Company for the financial </w:t>
      </w:r>
      <w:r w:rsidR="00641540">
        <w:rPr>
          <w:rFonts w:ascii="Century Gothic" w:hAnsi="Century Gothic"/>
          <w:i/>
        </w:rPr>
        <w:t>period</w:t>
      </w:r>
      <w:r w:rsidR="00641540" w:rsidRPr="003D06D1">
        <w:rPr>
          <w:rFonts w:ascii="Century Gothic" w:hAnsi="Century Gothic"/>
          <w:i/>
        </w:rPr>
        <w:t xml:space="preserve"> ended 3</w:t>
      </w:r>
      <w:r w:rsidR="00641540">
        <w:rPr>
          <w:rFonts w:ascii="Century Gothic" w:hAnsi="Century Gothic"/>
          <w:i/>
        </w:rPr>
        <w:t>0</w:t>
      </w:r>
      <w:r w:rsidR="00641540" w:rsidRPr="003D06D1">
        <w:rPr>
          <w:rFonts w:ascii="Century Gothic" w:hAnsi="Century Gothic"/>
          <w:i/>
        </w:rPr>
        <w:t xml:space="preserve"> </w:t>
      </w:r>
      <w:r w:rsidR="00641540">
        <w:rPr>
          <w:rFonts w:ascii="Century Gothic" w:hAnsi="Century Gothic"/>
          <w:i/>
        </w:rPr>
        <w:t>June</w:t>
      </w:r>
      <w:r w:rsidR="00641540" w:rsidRPr="003D06D1">
        <w:rPr>
          <w:rFonts w:ascii="Century Gothic" w:hAnsi="Century Gothic"/>
          <w:i/>
        </w:rPr>
        <w:t xml:space="preserve"> 20</w:t>
      </w:r>
      <w:r w:rsidR="00641540">
        <w:rPr>
          <w:rFonts w:ascii="Century Gothic" w:hAnsi="Century Gothic"/>
          <w:i/>
        </w:rPr>
        <w:t>15</w:t>
      </w:r>
      <w:r w:rsidRPr="003D06D1">
        <w:rPr>
          <w:rFonts w:ascii="Century Gothic" w:hAnsi="Century Gothic"/>
          <w:i/>
        </w:rPr>
        <w:t>.</w:t>
      </w:r>
    </w:p>
    <w:p w:rsidR="00C97A5D" w:rsidRPr="003D06D1" w:rsidRDefault="00C97A5D" w:rsidP="00A425F5">
      <w:pPr>
        <w:ind w:left="360"/>
        <w:jc w:val="both"/>
        <w:rPr>
          <w:rFonts w:ascii="Century Gothic" w:hAnsi="Century Gothic"/>
          <w:i/>
        </w:rPr>
      </w:pPr>
    </w:p>
    <w:p w:rsidR="00AF37D2" w:rsidRDefault="00B20A6A" w:rsidP="00AF37D2">
      <w:pPr>
        <w:ind w:left="360" w:right="346"/>
        <w:jc w:val="both"/>
        <w:rPr>
          <w:rFonts w:ascii="Century Gothic" w:hAnsi="Century Gothic"/>
          <w:i/>
        </w:rPr>
      </w:pPr>
      <w:r>
        <w:rPr>
          <w:rFonts w:ascii="Century Gothic" w:hAnsi="Century Gothic"/>
          <w:i/>
        </w:rPr>
        <w:t xml:space="preserve">*The Group </w:t>
      </w:r>
      <w:r w:rsidR="00AF37D2">
        <w:rPr>
          <w:rFonts w:ascii="Century Gothic" w:hAnsi="Century Gothic"/>
          <w:i/>
        </w:rPr>
        <w:t xml:space="preserve">changed its financial year end from 31 December to 30 June. Comparative </w:t>
      </w:r>
      <w:r>
        <w:rPr>
          <w:rFonts w:ascii="Century Gothic" w:hAnsi="Century Gothic"/>
          <w:i/>
        </w:rPr>
        <w:t>figures</w:t>
      </w:r>
      <w:r w:rsidR="00AF37D2">
        <w:rPr>
          <w:rFonts w:ascii="Century Gothic" w:hAnsi="Century Gothic"/>
          <w:i/>
        </w:rPr>
        <w:t xml:space="preserve"> consist of </w:t>
      </w:r>
      <w:r>
        <w:rPr>
          <w:rFonts w:ascii="Century Gothic" w:hAnsi="Century Gothic"/>
          <w:i/>
        </w:rPr>
        <w:t xml:space="preserve">the </w:t>
      </w:r>
      <w:r w:rsidR="00AF37D2">
        <w:rPr>
          <w:rFonts w:ascii="Century Gothic" w:hAnsi="Century Gothic"/>
          <w:i/>
        </w:rPr>
        <w:t>3</w:t>
      </w:r>
      <w:r w:rsidR="00C2666D">
        <w:rPr>
          <w:rFonts w:ascii="Century Gothic" w:hAnsi="Century Gothic"/>
          <w:i/>
        </w:rPr>
        <w:t>-</w:t>
      </w:r>
      <w:r w:rsidR="00AF37D2">
        <w:rPr>
          <w:rFonts w:ascii="Century Gothic" w:hAnsi="Century Gothic"/>
          <w:i/>
        </w:rPr>
        <w:t xml:space="preserve">month results </w:t>
      </w:r>
      <w:r>
        <w:rPr>
          <w:rFonts w:ascii="Century Gothic" w:hAnsi="Century Gothic"/>
          <w:i/>
        </w:rPr>
        <w:t>from</w:t>
      </w:r>
      <w:r w:rsidR="00AF37D2">
        <w:rPr>
          <w:rFonts w:ascii="Century Gothic" w:hAnsi="Century Gothic"/>
          <w:i/>
        </w:rPr>
        <w:t xml:space="preserve"> 1 July 2014 to 30 September 2014.</w:t>
      </w:r>
    </w:p>
    <w:p w:rsidR="006E532C" w:rsidRPr="003D06D1" w:rsidRDefault="006E532C" w:rsidP="00C20B4F">
      <w:pPr>
        <w:ind w:left="360"/>
        <w:rPr>
          <w:rFonts w:ascii="Century Gothic" w:hAnsi="Century Gothic"/>
        </w:rPr>
      </w:pPr>
    </w:p>
    <w:p w:rsidR="00C97A5D" w:rsidRPr="003D06D1" w:rsidRDefault="00C97A5D" w:rsidP="006E532C">
      <w:pPr>
        <w:sectPr w:rsidR="00C97A5D" w:rsidRPr="003D06D1" w:rsidSect="00983006">
          <w:headerReference w:type="default" r:id="rId12"/>
          <w:footerReference w:type="default" r:id="rId13"/>
          <w:headerReference w:type="first" r:id="rId14"/>
          <w:footerReference w:type="first" r:id="rId15"/>
          <w:pgSz w:w="12240" w:h="15840" w:code="1"/>
          <w:pgMar w:top="547" w:right="1530" w:bottom="576" w:left="1267" w:header="720" w:footer="36" w:gutter="0"/>
          <w:pgNumType w:start="1"/>
          <w:cols w:space="720"/>
          <w:docGrid w:linePitch="272"/>
        </w:sectPr>
      </w:pPr>
    </w:p>
    <w:p w:rsidR="00B53A9A" w:rsidRPr="003D06D1" w:rsidRDefault="00B53A9A" w:rsidP="00B53A9A">
      <w:pPr>
        <w:pStyle w:val="Heading1"/>
        <w:ind w:left="426" w:right="654"/>
        <w:rPr>
          <w:rFonts w:ascii="Century Gothic" w:hAnsi="Century Gothic"/>
          <w:b/>
          <w:szCs w:val="24"/>
        </w:rPr>
      </w:pPr>
    </w:p>
    <w:p w:rsidR="00B53A9A" w:rsidRPr="003D06D1" w:rsidRDefault="00B53A9A" w:rsidP="00B53A9A"/>
    <w:p w:rsidR="00B53A9A" w:rsidRPr="003D06D1" w:rsidRDefault="00660F4D" w:rsidP="00B53A9A">
      <w:pPr>
        <w:ind w:left="450" w:right="648"/>
        <w:jc w:val="both"/>
        <w:rPr>
          <w:rFonts w:ascii="Century Gothic" w:hAnsi="Century Gothic"/>
          <w:b/>
        </w:rPr>
      </w:pPr>
      <w:r w:rsidRPr="00660F4D">
        <w:rPr>
          <w:noProof/>
          <w:lang w:eastAsia="zh-CN"/>
        </w:rPr>
        <w:drawing>
          <wp:inline distT="0" distB="0" distL="0" distR="0">
            <wp:extent cx="8778143" cy="5218739"/>
            <wp:effectExtent l="19050" t="0" r="3907"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8781997" cy="5221030"/>
                    </a:xfrm>
                    <a:prstGeom prst="rect">
                      <a:avLst/>
                    </a:prstGeom>
                    <a:noFill/>
                    <a:ln w="9525">
                      <a:noFill/>
                      <a:miter lim="800000"/>
                      <a:headEnd/>
                      <a:tailEnd/>
                    </a:ln>
                  </pic:spPr>
                </pic:pic>
              </a:graphicData>
            </a:graphic>
          </wp:inline>
        </w:drawing>
      </w:r>
    </w:p>
    <w:p w:rsidR="00B16DED" w:rsidRDefault="00B16DED" w:rsidP="00B53A9A">
      <w:pPr>
        <w:ind w:left="450" w:right="648"/>
        <w:jc w:val="both"/>
        <w:rPr>
          <w:rFonts w:ascii="Century Gothic" w:hAnsi="Century Gothic"/>
          <w:b/>
        </w:rPr>
      </w:pPr>
    </w:p>
    <w:p w:rsidR="00B53A9A" w:rsidRPr="003D06D1" w:rsidRDefault="00B53A9A" w:rsidP="00B53A9A">
      <w:pPr>
        <w:ind w:left="450" w:right="648"/>
        <w:jc w:val="both"/>
        <w:rPr>
          <w:rFonts w:ascii="Century Gothic" w:hAnsi="Century Gothic"/>
          <w:b/>
        </w:rPr>
      </w:pPr>
      <w:r w:rsidRPr="003D06D1">
        <w:rPr>
          <w:rFonts w:ascii="Century Gothic" w:hAnsi="Century Gothic"/>
          <w:b/>
        </w:rPr>
        <w:t>Notes:</w:t>
      </w:r>
    </w:p>
    <w:p w:rsidR="00B53A9A" w:rsidRPr="003D06D1" w:rsidRDefault="00B53A9A" w:rsidP="00B53A9A">
      <w:pPr>
        <w:ind w:left="450" w:right="648"/>
        <w:jc w:val="both"/>
        <w:rPr>
          <w:rFonts w:ascii="Century Gothic" w:hAnsi="Century Gothic"/>
        </w:rPr>
      </w:pPr>
    </w:p>
    <w:p w:rsidR="00B53A9A" w:rsidRPr="003D06D1" w:rsidRDefault="00B53A9A" w:rsidP="00B53A9A">
      <w:pPr>
        <w:ind w:left="450" w:right="648"/>
        <w:rPr>
          <w:rFonts w:ascii="Century Gothic" w:hAnsi="Century Gothic"/>
          <w:i/>
        </w:rPr>
      </w:pPr>
      <w:r w:rsidRPr="003D06D1">
        <w:rPr>
          <w:rFonts w:ascii="Century Gothic" w:hAnsi="Century Gothic"/>
          <w:i/>
        </w:rPr>
        <w:t xml:space="preserve">The Condensed Consolidated Statements of Changes in Equity should be read in conjunction with the Notes to Interim Financial Reports and the </w:t>
      </w:r>
      <w:r w:rsidR="005035BF">
        <w:rPr>
          <w:rFonts w:ascii="Century Gothic" w:hAnsi="Century Gothic"/>
          <w:i/>
        </w:rPr>
        <w:t xml:space="preserve"> </w:t>
      </w:r>
      <w:r w:rsidRPr="003D06D1">
        <w:rPr>
          <w:rFonts w:ascii="Century Gothic" w:hAnsi="Century Gothic"/>
          <w:i/>
        </w:rPr>
        <w:t xml:space="preserve">audited financial statements of the Company for the financial </w:t>
      </w:r>
      <w:r w:rsidR="00171567">
        <w:rPr>
          <w:rFonts w:ascii="Century Gothic" w:hAnsi="Century Gothic"/>
          <w:i/>
        </w:rPr>
        <w:t>period</w:t>
      </w:r>
      <w:r w:rsidR="00171567" w:rsidRPr="003D06D1">
        <w:rPr>
          <w:rFonts w:ascii="Century Gothic" w:hAnsi="Century Gothic"/>
          <w:i/>
        </w:rPr>
        <w:t xml:space="preserve"> ended 3</w:t>
      </w:r>
      <w:r w:rsidR="00171567">
        <w:rPr>
          <w:rFonts w:ascii="Century Gothic" w:hAnsi="Century Gothic"/>
          <w:i/>
        </w:rPr>
        <w:t>0</w:t>
      </w:r>
      <w:r w:rsidR="00171567" w:rsidRPr="003D06D1">
        <w:rPr>
          <w:rFonts w:ascii="Century Gothic" w:hAnsi="Century Gothic"/>
          <w:i/>
        </w:rPr>
        <w:t xml:space="preserve"> </w:t>
      </w:r>
      <w:r w:rsidR="00171567">
        <w:rPr>
          <w:rFonts w:ascii="Century Gothic" w:hAnsi="Century Gothic"/>
          <w:i/>
        </w:rPr>
        <w:t>June</w:t>
      </w:r>
      <w:r w:rsidR="00171567" w:rsidRPr="003D06D1">
        <w:rPr>
          <w:rFonts w:ascii="Century Gothic" w:hAnsi="Century Gothic"/>
          <w:i/>
        </w:rPr>
        <w:t xml:space="preserve"> 20</w:t>
      </w:r>
      <w:r w:rsidR="00171567">
        <w:rPr>
          <w:rFonts w:ascii="Century Gothic" w:hAnsi="Century Gothic"/>
          <w:i/>
        </w:rPr>
        <w:t>15</w:t>
      </w:r>
      <w:r w:rsidRPr="003D06D1">
        <w:rPr>
          <w:rFonts w:ascii="Century Gothic" w:hAnsi="Century Gothic"/>
          <w:i/>
        </w:rPr>
        <w:t>.</w:t>
      </w:r>
    </w:p>
    <w:p w:rsidR="00B53A9A" w:rsidRPr="003D06D1" w:rsidRDefault="00B53A9A" w:rsidP="00B1312F">
      <w:pPr>
        <w:ind w:left="450" w:right="648"/>
        <w:rPr>
          <w:szCs w:val="24"/>
        </w:rPr>
        <w:sectPr w:rsidR="00B53A9A" w:rsidRPr="003D06D1" w:rsidSect="005003EE">
          <w:pgSz w:w="15840" w:h="12240" w:orient="landscape" w:code="1"/>
          <w:pgMar w:top="230" w:right="576" w:bottom="432" w:left="576" w:header="720" w:footer="720" w:gutter="0"/>
          <w:cols w:space="720"/>
          <w:titlePg/>
        </w:sectPr>
      </w:pPr>
    </w:p>
    <w:p w:rsidR="00E81C87" w:rsidRPr="003D06D1" w:rsidRDefault="00E81C87" w:rsidP="00E81C87">
      <w:pPr>
        <w:ind w:left="360"/>
        <w:jc w:val="both"/>
        <w:rPr>
          <w:rFonts w:ascii="Century Gothic" w:hAnsi="Century Gothic"/>
          <w:b/>
        </w:rPr>
      </w:pPr>
    </w:p>
    <w:p w:rsidR="005D5BAC" w:rsidRDefault="00660F4D" w:rsidP="00E81C87">
      <w:pPr>
        <w:ind w:left="360"/>
        <w:jc w:val="both"/>
        <w:rPr>
          <w:rFonts w:ascii="Century Gothic" w:hAnsi="Century Gothic"/>
          <w:b/>
        </w:rPr>
      </w:pPr>
      <w:r w:rsidRPr="00660F4D">
        <w:rPr>
          <w:noProof/>
          <w:lang w:eastAsia="zh-CN"/>
        </w:rPr>
        <w:drawing>
          <wp:inline distT="0" distB="0" distL="0" distR="0">
            <wp:extent cx="5810250" cy="7381875"/>
            <wp:effectExtent l="1905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5810250" cy="7381875"/>
                    </a:xfrm>
                    <a:prstGeom prst="rect">
                      <a:avLst/>
                    </a:prstGeom>
                    <a:noFill/>
                    <a:ln w="9525">
                      <a:noFill/>
                      <a:miter lim="800000"/>
                      <a:headEnd/>
                      <a:tailEnd/>
                    </a:ln>
                  </pic:spPr>
                </pic:pic>
              </a:graphicData>
            </a:graphic>
          </wp:inline>
        </w:drawing>
      </w:r>
    </w:p>
    <w:p w:rsidR="006D24C4" w:rsidRPr="003D06D1" w:rsidRDefault="006D24C4" w:rsidP="00E81C87">
      <w:pPr>
        <w:ind w:left="360"/>
        <w:jc w:val="both"/>
        <w:rPr>
          <w:rFonts w:ascii="Century Gothic" w:hAnsi="Century Gothic"/>
          <w:b/>
        </w:rPr>
      </w:pPr>
      <w:r w:rsidRPr="003D06D1">
        <w:rPr>
          <w:rFonts w:ascii="Century Gothic" w:hAnsi="Century Gothic"/>
          <w:b/>
        </w:rPr>
        <w:t>Notes:</w:t>
      </w:r>
    </w:p>
    <w:p w:rsidR="006D24C4" w:rsidRPr="003D06D1" w:rsidRDefault="006D24C4" w:rsidP="006D24C4">
      <w:pPr>
        <w:pStyle w:val="Heading1"/>
        <w:rPr>
          <w:rFonts w:ascii="Century Gothic" w:hAnsi="Century Gothic"/>
          <w:sz w:val="20"/>
        </w:rPr>
      </w:pPr>
    </w:p>
    <w:p w:rsidR="001F28F7" w:rsidRPr="003D06D1" w:rsidRDefault="006D24C4" w:rsidP="00E81C87">
      <w:pPr>
        <w:ind w:left="360"/>
        <w:jc w:val="both"/>
        <w:rPr>
          <w:rFonts w:ascii="Century Gothic" w:hAnsi="Century Gothic"/>
          <w:i/>
        </w:rPr>
      </w:pPr>
      <w:r w:rsidRPr="003D06D1">
        <w:rPr>
          <w:rFonts w:ascii="Century Gothic" w:hAnsi="Century Gothic"/>
          <w:i/>
        </w:rPr>
        <w:t xml:space="preserve">The </w:t>
      </w:r>
      <w:r w:rsidR="000036C1" w:rsidRPr="003D06D1">
        <w:rPr>
          <w:rFonts w:ascii="Century Gothic" w:hAnsi="Century Gothic"/>
          <w:i/>
        </w:rPr>
        <w:t>Condensed consolidated Statements of Cash Flows</w:t>
      </w:r>
      <w:r w:rsidRPr="003D06D1">
        <w:rPr>
          <w:rFonts w:ascii="Century Gothic" w:hAnsi="Century Gothic"/>
          <w:i/>
        </w:rPr>
        <w:t xml:space="preserve"> should be read in conjunction with the Notes </w:t>
      </w:r>
    </w:p>
    <w:p w:rsidR="00241C70" w:rsidRDefault="006D24C4" w:rsidP="00241C70">
      <w:pPr>
        <w:ind w:left="360"/>
        <w:jc w:val="both"/>
        <w:rPr>
          <w:rFonts w:ascii="Century Gothic" w:hAnsi="Century Gothic"/>
          <w:i/>
        </w:rPr>
      </w:pPr>
      <w:r w:rsidRPr="003D06D1">
        <w:rPr>
          <w:rFonts w:ascii="Century Gothic" w:hAnsi="Century Gothic"/>
          <w:i/>
        </w:rPr>
        <w:t>to Interim Financial Reports and the audited Financial Statements of the Company for the finan</w:t>
      </w:r>
      <w:r w:rsidR="00A45D1F" w:rsidRPr="003D06D1">
        <w:rPr>
          <w:rFonts w:ascii="Century Gothic" w:hAnsi="Century Gothic"/>
          <w:i/>
        </w:rPr>
        <w:t xml:space="preserve">cial </w:t>
      </w:r>
      <w:r w:rsidR="00E524D8">
        <w:rPr>
          <w:rFonts w:ascii="Century Gothic" w:hAnsi="Century Gothic"/>
          <w:i/>
        </w:rPr>
        <w:t>period</w:t>
      </w:r>
      <w:r w:rsidR="00E524D8" w:rsidRPr="003D06D1">
        <w:rPr>
          <w:rFonts w:ascii="Century Gothic" w:hAnsi="Century Gothic"/>
          <w:i/>
        </w:rPr>
        <w:t xml:space="preserve"> ended 3</w:t>
      </w:r>
      <w:r w:rsidR="00E524D8">
        <w:rPr>
          <w:rFonts w:ascii="Century Gothic" w:hAnsi="Century Gothic"/>
          <w:i/>
        </w:rPr>
        <w:t>0</w:t>
      </w:r>
      <w:r w:rsidR="00E524D8" w:rsidRPr="003D06D1">
        <w:rPr>
          <w:rFonts w:ascii="Century Gothic" w:hAnsi="Century Gothic"/>
          <w:i/>
        </w:rPr>
        <w:t xml:space="preserve"> </w:t>
      </w:r>
      <w:r w:rsidR="00E524D8">
        <w:rPr>
          <w:rFonts w:ascii="Century Gothic" w:hAnsi="Century Gothic"/>
          <w:i/>
        </w:rPr>
        <w:t>June</w:t>
      </w:r>
      <w:r w:rsidR="00E524D8" w:rsidRPr="003D06D1">
        <w:rPr>
          <w:rFonts w:ascii="Century Gothic" w:hAnsi="Century Gothic"/>
          <w:i/>
        </w:rPr>
        <w:t xml:space="preserve"> 20</w:t>
      </w:r>
      <w:r w:rsidR="00E524D8">
        <w:rPr>
          <w:rFonts w:ascii="Century Gothic" w:hAnsi="Century Gothic"/>
          <w:i/>
        </w:rPr>
        <w:t>15</w:t>
      </w:r>
      <w:r w:rsidRPr="003D06D1">
        <w:rPr>
          <w:rFonts w:ascii="Century Gothic" w:hAnsi="Century Gothic"/>
          <w:i/>
        </w:rPr>
        <w:t>.</w:t>
      </w:r>
    </w:p>
    <w:p w:rsidR="00241C70" w:rsidRDefault="00241C70" w:rsidP="00241C70">
      <w:pPr>
        <w:ind w:left="360"/>
        <w:jc w:val="both"/>
        <w:rPr>
          <w:rFonts w:ascii="Century Gothic" w:hAnsi="Century Gothic"/>
          <w:i/>
        </w:rPr>
      </w:pPr>
    </w:p>
    <w:p w:rsidR="00B20A6A" w:rsidRDefault="00B20A6A" w:rsidP="00B20A6A">
      <w:pPr>
        <w:ind w:left="360" w:right="346"/>
        <w:jc w:val="both"/>
        <w:rPr>
          <w:rFonts w:ascii="Century Gothic" w:hAnsi="Century Gothic"/>
          <w:i/>
        </w:rPr>
      </w:pPr>
      <w:r>
        <w:rPr>
          <w:rFonts w:ascii="Century Gothic" w:hAnsi="Century Gothic"/>
          <w:i/>
        </w:rPr>
        <w:t>*The Group changed its financial year end from 31 December to 30 June. Comparative figures consist of the 3-month results from 1 July 2014 to 30 September 2014.</w:t>
      </w:r>
    </w:p>
    <w:p w:rsidR="002441C5" w:rsidRPr="009620D0" w:rsidRDefault="00DF749E" w:rsidP="002441C5">
      <w:pPr>
        <w:pStyle w:val="Heading1"/>
        <w:rPr>
          <w:rFonts w:ascii="Century Gothic" w:hAnsi="Century Gothic"/>
          <w:b/>
          <w:i/>
          <w:sz w:val="20"/>
        </w:rPr>
      </w:pPr>
      <w:r w:rsidRPr="009620D0">
        <w:rPr>
          <w:rFonts w:ascii="Century Gothic" w:hAnsi="Century Gothic"/>
          <w:b/>
          <w:sz w:val="20"/>
        </w:rPr>
        <w:lastRenderedPageBreak/>
        <w:t>S</w:t>
      </w:r>
      <w:r w:rsidR="0096471B" w:rsidRPr="009620D0">
        <w:rPr>
          <w:rFonts w:ascii="Century Gothic" w:hAnsi="Century Gothic"/>
          <w:b/>
          <w:sz w:val="20"/>
        </w:rPr>
        <w:t>CAN ASSOCIATES BERHAD (525669-P)</w:t>
      </w:r>
      <w:r w:rsidR="001A4FB5" w:rsidRPr="009620D0">
        <w:rPr>
          <w:rFonts w:ascii="Century Gothic" w:hAnsi="Century Gothic"/>
          <w:b/>
          <w:sz w:val="20"/>
        </w:rPr>
        <w:tab/>
      </w:r>
      <w:r w:rsidR="001A4FB5" w:rsidRPr="009620D0">
        <w:rPr>
          <w:rFonts w:ascii="Century Gothic" w:hAnsi="Century Gothic"/>
          <w:b/>
          <w:sz w:val="20"/>
        </w:rPr>
        <w:tab/>
      </w:r>
      <w:r w:rsidR="001A4FB5" w:rsidRPr="009620D0">
        <w:rPr>
          <w:rFonts w:ascii="Century Gothic" w:hAnsi="Century Gothic"/>
          <w:b/>
          <w:sz w:val="20"/>
        </w:rPr>
        <w:tab/>
      </w:r>
      <w:r w:rsidR="001A4FB5" w:rsidRPr="009620D0">
        <w:rPr>
          <w:rFonts w:ascii="Century Gothic" w:hAnsi="Century Gothic"/>
          <w:b/>
          <w:sz w:val="20"/>
        </w:rPr>
        <w:tab/>
      </w:r>
      <w:r w:rsidR="001A4FB5" w:rsidRPr="009620D0">
        <w:rPr>
          <w:rFonts w:ascii="Century Gothic" w:hAnsi="Century Gothic"/>
          <w:b/>
          <w:sz w:val="20"/>
        </w:rPr>
        <w:tab/>
      </w:r>
      <w:r w:rsidR="001A4FB5" w:rsidRPr="009620D0">
        <w:rPr>
          <w:rFonts w:ascii="Century Gothic" w:hAnsi="Century Gothic"/>
          <w:b/>
          <w:sz w:val="20"/>
        </w:rPr>
        <w:tab/>
      </w:r>
      <w:r w:rsidR="001A4FB5" w:rsidRPr="009620D0">
        <w:rPr>
          <w:rFonts w:ascii="Century Gothic" w:hAnsi="Century Gothic"/>
          <w:b/>
          <w:sz w:val="20"/>
        </w:rPr>
        <w:tab/>
      </w:r>
    </w:p>
    <w:p w:rsidR="0096471B" w:rsidRPr="009620D0" w:rsidRDefault="0096471B" w:rsidP="0096471B">
      <w:pPr>
        <w:rPr>
          <w:rFonts w:ascii="Century Gothic" w:hAnsi="Century Gothic"/>
        </w:rPr>
      </w:pPr>
      <w:r w:rsidRPr="009620D0">
        <w:rPr>
          <w:rFonts w:ascii="Century Gothic" w:hAnsi="Century Gothic"/>
        </w:rPr>
        <w:t>(Incorporated in Malaysia)</w:t>
      </w:r>
    </w:p>
    <w:p w:rsidR="00162459" w:rsidRPr="009620D0" w:rsidRDefault="00162459">
      <w:pPr>
        <w:rPr>
          <w:rFonts w:ascii="Century Gothic" w:hAnsi="Century Gothic"/>
        </w:rPr>
      </w:pPr>
    </w:p>
    <w:p w:rsidR="00162459" w:rsidRPr="009620D0" w:rsidRDefault="0096471B">
      <w:pPr>
        <w:pStyle w:val="Heading1"/>
        <w:rPr>
          <w:rFonts w:ascii="Century Gothic" w:hAnsi="Century Gothic"/>
          <w:b/>
          <w:sz w:val="20"/>
        </w:rPr>
      </w:pPr>
      <w:r w:rsidRPr="009620D0">
        <w:rPr>
          <w:rFonts w:ascii="Century Gothic" w:hAnsi="Century Gothic"/>
          <w:b/>
          <w:sz w:val="20"/>
        </w:rPr>
        <w:t>NOTES</w:t>
      </w:r>
      <w:r w:rsidR="00A207AE" w:rsidRPr="009620D0">
        <w:rPr>
          <w:rFonts w:ascii="Century Gothic" w:hAnsi="Century Gothic"/>
          <w:b/>
          <w:sz w:val="20"/>
        </w:rPr>
        <w:t xml:space="preserve"> TO THE INTERIM FINANCIAL STATEMENTS</w:t>
      </w:r>
    </w:p>
    <w:p w:rsidR="00A45D1F" w:rsidRPr="009620D0" w:rsidRDefault="00A45D1F" w:rsidP="00A45D1F">
      <w:pPr>
        <w:pStyle w:val="Heading1"/>
        <w:rPr>
          <w:rFonts w:ascii="Century Gothic" w:hAnsi="Century Gothic"/>
          <w:b/>
          <w:sz w:val="20"/>
        </w:rPr>
      </w:pPr>
      <w:r w:rsidRPr="009620D0">
        <w:rPr>
          <w:rFonts w:ascii="Century Gothic" w:hAnsi="Century Gothic"/>
          <w:b/>
          <w:sz w:val="20"/>
        </w:rPr>
        <w:t>FOR THE FINANCIAL PERIOD</w:t>
      </w:r>
      <w:r w:rsidR="0096471B" w:rsidRPr="009620D0">
        <w:rPr>
          <w:rFonts w:ascii="Century Gothic" w:hAnsi="Century Gothic"/>
          <w:b/>
          <w:sz w:val="20"/>
        </w:rPr>
        <w:t xml:space="preserve"> ENDED </w:t>
      </w:r>
      <w:r w:rsidR="008657E2">
        <w:rPr>
          <w:rFonts w:ascii="Century Gothic" w:hAnsi="Century Gothic"/>
          <w:b/>
          <w:sz w:val="20"/>
        </w:rPr>
        <w:t>3</w:t>
      </w:r>
      <w:r w:rsidR="00FD216D">
        <w:rPr>
          <w:rFonts w:ascii="Century Gothic" w:hAnsi="Century Gothic"/>
          <w:b/>
          <w:sz w:val="20"/>
        </w:rPr>
        <w:t>0</w:t>
      </w:r>
      <w:r w:rsidR="008657E2">
        <w:rPr>
          <w:rFonts w:ascii="Century Gothic" w:hAnsi="Century Gothic"/>
          <w:b/>
          <w:sz w:val="20"/>
        </w:rPr>
        <w:t xml:space="preserve"> </w:t>
      </w:r>
      <w:r w:rsidR="00FD216D">
        <w:rPr>
          <w:rFonts w:ascii="Century Gothic" w:hAnsi="Century Gothic"/>
          <w:b/>
          <w:sz w:val="20"/>
        </w:rPr>
        <w:t>SEPTEMBER</w:t>
      </w:r>
      <w:r w:rsidR="008657E2">
        <w:rPr>
          <w:rFonts w:ascii="Century Gothic" w:hAnsi="Century Gothic"/>
          <w:b/>
          <w:sz w:val="20"/>
        </w:rPr>
        <w:t xml:space="preserve"> </w:t>
      </w:r>
      <w:r w:rsidR="00BF0F64">
        <w:rPr>
          <w:rFonts w:ascii="Century Gothic" w:hAnsi="Century Gothic"/>
          <w:b/>
          <w:sz w:val="20"/>
        </w:rPr>
        <w:t>201</w:t>
      </w:r>
      <w:r w:rsidR="002678A8">
        <w:rPr>
          <w:rFonts w:ascii="Century Gothic" w:hAnsi="Century Gothic"/>
          <w:b/>
          <w:sz w:val="20"/>
        </w:rPr>
        <w:t>5</w:t>
      </w:r>
    </w:p>
    <w:p w:rsidR="00162459" w:rsidRPr="009620D0" w:rsidRDefault="00162459">
      <w:pPr>
        <w:pStyle w:val="Heading1"/>
        <w:pBdr>
          <w:bottom w:val="single" w:sz="4" w:space="1" w:color="auto"/>
        </w:pBdr>
        <w:rPr>
          <w:rFonts w:ascii="Century Gothic" w:hAnsi="Century Gothic"/>
          <w:b/>
          <w:sz w:val="20"/>
        </w:rPr>
      </w:pPr>
    </w:p>
    <w:p w:rsidR="00162459" w:rsidRPr="009620D0" w:rsidRDefault="00162459">
      <w:pPr>
        <w:rPr>
          <w:rFonts w:ascii="Century Gothic" w:hAnsi="Century Gothic"/>
        </w:rPr>
      </w:pPr>
    </w:p>
    <w:p w:rsidR="0096471B" w:rsidRPr="009620D0" w:rsidRDefault="00035717" w:rsidP="00B15298">
      <w:pPr>
        <w:ind w:left="720" w:hanging="720"/>
        <w:jc w:val="both"/>
        <w:rPr>
          <w:rFonts w:ascii="Century Gothic" w:hAnsi="Century Gothic"/>
          <w:b/>
        </w:rPr>
      </w:pPr>
      <w:r w:rsidRPr="009620D0">
        <w:rPr>
          <w:rFonts w:ascii="Century Gothic" w:hAnsi="Century Gothic"/>
          <w:b/>
        </w:rPr>
        <w:t>A</w:t>
      </w:r>
      <w:r w:rsidRPr="009620D0">
        <w:rPr>
          <w:rFonts w:ascii="Century Gothic" w:hAnsi="Century Gothic"/>
          <w:b/>
        </w:rPr>
        <w:tab/>
        <w:t>EXPLANATORY NOTES PURSUANT TO FINANCIAL REPORTING STANDARD 134 INTERIM FINANCIAL REPORTING</w:t>
      </w:r>
    </w:p>
    <w:p w:rsidR="0096471B" w:rsidRPr="009620D0" w:rsidRDefault="0096471B">
      <w:pPr>
        <w:rPr>
          <w:rFonts w:ascii="Century Gothic" w:hAnsi="Century Gothic"/>
        </w:rPr>
      </w:pPr>
    </w:p>
    <w:p w:rsidR="00162459" w:rsidRPr="009620D0" w:rsidRDefault="0096471B" w:rsidP="0096471B">
      <w:pPr>
        <w:jc w:val="both"/>
        <w:rPr>
          <w:rFonts w:ascii="Century Gothic" w:hAnsi="Century Gothic"/>
          <w:b/>
        </w:rPr>
      </w:pPr>
      <w:r w:rsidRPr="009620D0">
        <w:rPr>
          <w:rFonts w:ascii="Century Gothic" w:hAnsi="Century Gothic"/>
          <w:b/>
        </w:rPr>
        <w:t>A1</w:t>
      </w:r>
      <w:r w:rsidR="001031F5" w:rsidRPr="009620D0">
        <w:rPr>
          <w:rFonts w:ascii="Century Gothic" w:hAnsi="Century Gothic"/>
          <w:b/>
        </w:rPr>
        <w:tab/>
      </w:r>
      <w:r w:rsidR="00035717" w:rsidRPr="009620D0">
        <w:rPr>
          <w:rFonts w:ascii="Century Gothic" w:hAnsi="Century Gothic"/>
          <w:b/>
        </w:rPr>
        <w:t xml:space="preserve">Basis </w:t>
      </w:r>
      <w:r w:rsidR="00C964D7" w:rsidRPr="009620D0">
        <w:rPr>
          <w:rFonts w:ascii="Century Gothic" w:hAnsi="Century Gothic"/>
          <w:b/>
        </w:rPr>
        <w:t>of</w:t>
      </w:r>
      <w:r w:rsidR="00AD3495">
        <w:rPr>
          <w:rFonts w:ascii="Century Gothic" w:hAnsi="Century Gothic"/>
          <w:b/>
        </w:rPr>
        <w:t xml:space="preserve"> </w:t>
      </w:r>
      <w:r w:rsidR="00035717" w:rsidRPr="009620D0">
        <w:rPr>
          <w:rFonts w:ascii="Century Gothic" w:hAnsi="Century Gothic"/>
          <w:b/>
        </w:rPr>
        <w:t>P</w:t>
      </w:r>
      <w:r w:rsidR="00162459" w:rsidRPr="009620D0">
        <w:rPr>
          <w:rFonts w:ascii="Century Gothic" w:hAnsi="Century Gothic"/>
          <w:b/>
        </w:rPr>
        <w:t>reparation</w:t>
      </w:r>
    </w:p>
    <w:p w:rsidR="00162459" w:rsidRPr="009620D0" w:rsidRDefault="00162459">
      <w:pPr>
        <w:ind w:left="360"/>
        <w:jc w:val="both"/>
        <w:rPr>
          <w:rFonts w:ascii="Century Gothic" w:hAnsi="Century Gothic"/>
        </w:rPr>
      </w:pPr>
    </w:p>
    <w:p w:rsidR="00E15740" w:rsidRPr="009620D0" w:rsidRDefault="00E15740" w:rsidP="00E15740">
      <w:pPr>
        <w:pStyle w:val="BodyTextIndent2"/>
        <w:ind w:left="720"/>
        <w:rPr>
          <w:rFonts w:ascii="Century Gothic" w:hAnsi="Century Gothic" w:cs="Century Gothic"/>
          <w:sz w:val="20"/>
          <w:lang w:val="en-MY" w:eastAsia="en-MY"/>
        </w:rPr>
      </w:pPr>
      <w:r w:rsidRPr="009620D0">
        <w:rPr>
          <w:rFonts w:ascii="Century Gothic" w:hAnsi="Century Gothic" w:cs="Century Gothic"/>
          <w:sz w:val="20"/>
          <w:lang w:val="en-MY" w:eastAsia="en-MY"/>
        </w:rPr>
        <w:t>This interim financial statements of the Group are</w:t>
      </w:r>
      <w:r>
        <w:rPr>
          <w:rFonts w:ascii="Century Gothic" w:hAnsi="Century Gothic" w:cs="Century Gothic"/>
          <w:sz w:val="20"/>
          <w:lang w:val="en-MY" w:eastAsia="en-MY"/>
        </w:rPr>
        <w:t xml:space="preserve"> </w:t>
      </w:r>
      <w:r w:rsidRPr="009620D0">
        <w:rPr>
          <w:rFonts w:ascii="Century Gothic" w:hAnsi="Century Gothic" w:cs="Century Gothic"/>
          <w:sz w:val="20"/>
          <w:lang w:val="en-MY" w:eastAsia="en-MY"/>
        </w:rPr>
        <w:t>un</w:t>
      </w:r>
      <w:r>
        <w:rPr>
          <w:rFonts w:ascii="Century Gothic" w:hAnsi="Century Gothic" w:cs="Century Gothic"/>
          <w:sz w:val="20"/>
          <w:lang w:val="en-MY" w:eastAsia="en-MY"/>
        </w:rPr>
        <w:t>au</w:t>
      </w:r>
      <w:r w:rsidRPr="001E2382">
        <w:rPr>
          <w:rFonts w:ascii="Century Gothic" w:hAnsi="Century Gothic" w:cs="Century Gothic"/>
          <w:sz w:val="20"/>
          <w:lang w:val="en-MY" w:eastAsia="en-MY"/>
        </w:rPr>
        <w:t>d</w:t>
      </w:r>
      <w:r w:rsidRPr="009620D0">
        <w:rPr>
          <w:rFonts w:ascii="Century Gothic" w:hAnsi="Century Gothic" w:cs="Century Gothic"/>
          <w:sz w:val="20"/>
          <w:lang w:val="en-MY" w:eastAsia="en-MY"/>
        </w:rPr>
        <w:t>ited and has been prepared in accordance with FRS 134 (Interim Financial Reporting) issued by the Malaysian Accounting Standards Board ("MASB") and Rule 9.22 and Appendix 9B of the ACE Market Listing Requirement of Bursa Malaysia Securities Berhad (“Bursa</w:t>
      </w:r>
      <w:r w:rsidR="00F36161">
        <w:rPr>
          <w:rFonts w:ascii="Century Gothic" w:hAnsi="Century Gothic" w:cs="Century Gothic"/>
          <w:sz w:val="20"/>
          <w:lang w:val="en-MY" w:eastAsia="en-MY"/>
        </w:rPr>
        <w:t xml:space="preserve"> </w:t>
      </w:r>
      <w:r w:rsidR="00F36161" w:rsidRPr="009620D0">
        <w:rPr>
          <w:rFonts w:ascii="Century Gothic" w:hAnsi="Century Gothic" w:cs="Century Gothic"/>
          <w:sz w:val="20"/>
          <w:lang w:val="en-MY" w:eastAsia="en-MY"/>
        </w:rPr>
        <w:t>Securities</w:t>
      </w:r>
      <w:r w:rsidR="00F36161">
        <w:rPr>
          <w:rFonts w:ascii="Century Gothic" w:hAnsi="Century Gothic" w:cs="Century Gothic"/>
          <w:sz w:val="20"/>
          <w:lang w:val="en-MY" w:eastAsia="en-MY"/>
        </w:rPr>
        <w:t>”</w:t>
      </w:r>
      <w:r w:rsidRPr="009620D0">
        <w:rPr>
          <w:rFonts w:ascii="Century Gothic" w:hAnsi="Century Gothic" w:cs="Century Gothic"/>
          <w:sz w:val="20"/>
          <w:lang w:val="en-MY" w:eastAsia="en-MY"/>
        </w:rPr>
        <w:t xml:space="preserve">). </w:t>
      </w:r>
    </w:p>
    <w:p w:rsidR="00E15740" w:rsidRPr="009620D0" w:rsidRDefault="00E15740" w:rsidP="00E15740">
      <w:pPr>
        <w:pStyle w:val="BodyTextIndent2"/>
        <w:ind w:left="720"/>
        <w:rPr>
          <w:sz w:val="22"/>
          <w:szCs w:val="22"/>
        </w:rPr>
      </w:pPr>
    </w:p>
    <w:p w:rsidR="00E15740" w:rsidRPr="009620D0" w:rsidRDefault="00E15740" w:rsidP="00E15740">
      <w:pPr>
        <w:pStyle w:val="BodyTextIndent2"/>
        <w:ind w:left="720"/>
        <w:rPr>
          <w:rFonts w:ascii="Century Gothic" w:hAnsi="Century Gothic" w:cs="Century Gothic"/>
          <w:sz w:val="20"/>
          <w:lang w:val="en-MY" w:eastAsia="en-MY"/>
        </w:rPr>
      </w:pPr>
      <w:r w:rsidRPr="009620D0">
        <w:rPr>
          <w:rFonts w:ascii="Century Gothic" w:hAnsi="Century Gothic" w:cs="Century Gothic"/>
          <w:sz w:val="20"/>
          <w:lang w:val="en-MY" w:eastAsia="en-MY"/>
        </w:rPr>
        <w:t>The financial statements of the Group and of the Company have been prepared in accordance with the Malaysian Financial Reporting Standards (“MFRSs”), International Financial Reporting Standards and the requirements of the Companies Act, 1965 in Malaysia.</w:t>
      </w:r>
    </w:p>
    <w:p w:rsidR="00E15740" w:rsidRPr="009620D0" w:rsidRDefault="00E15740" w:rsidP="00E15740">
      <w:pPr>
        <w:pStyle w:val="BodyTextIndent2"/>
        <w:ind w:left="720"/>
        <w:rPr>
          <w:rFonts w:ascii="Century Gothic" w:hAnsi="Century Gothic" w:cs="Century Gothic"/>
          <w:sz w:val="20"/>
          <w:lang w:val="en-MY" w:eastAsia="en-MY"/>
        </w:rPr>
      </w:pPr>
    </w:p>
    <w:p w:rsidR="00E15740" w:rsidRPr="009620D0" w:rsidRDefault="00E15740" w:rsidP="00E15740">
      <w:pPr>
        <w:pStyle w:val="BodyTextIndent2"/>
        <w:ind w:left="720"/>
        <w:rPr>
          <w:rFonts w:ascii="Century Gothic" w:hAnsi="Century Gothic" w:cs="Century Gothic"/>
          <w:sz w:val="20"/>
          <w:lang w:val="en-MY" w:eastAsia="en-MY"/>
        </w:rPr>
      </w:pPr>
      <w:r w:rsidRPr="009620D0">
        <w:rPr>
          <w:rFonts w:ascii="Century Gothic" w:hAnsi="Century Gothic" w:cs="Century Gothic"/>
          <w:sz w:val="20"/>
          <w:lang w:val="en-MY" w:eastAsia="en-MY"/>
        </w:rPr>
        <w:t xml:space="preserve">The interim financial statements should be read in conjunction with the audited financial statements for the financial </w:t>
      </w:r>
      <w:r w:rsidR="00C54966" w:rsidRPr="00D87FF3">
        <w:rPr>
          <w:rFonts w:ascii="Century Gothic" w:hAnsi="Century Gothic" w:cs="Century Gothic"/>
          <w:sz w:val="20"/>
          <w:lang w:val="en-MY" w:eastAsia="en-MY"/>
        </w:rPr>
        <w:t>period ended 30 June 2015</w:t>
      </w:r>
      <w:r w:rsidRPr="009620D0">
        <w:rPr>
          <w:rFonts w:ascii="Century Gothic" w:hAnsi="Century Gothic" w:cs="Century Gothic"/>
          <w:sz w:val="20"/>
          <w:lang w:val="en-MY" w:eastAsia="en-MY"/>
        </w:rPr>
        <w:t xml:space="preserve">. These explanatory notes attached to the interim financial statements provide an explanation of events and transactions that are significant to an understanding of the changes in the financial position and performance of the Group since the financial </w:t>
      </w:r>
      <w:r w:rsidR="00D87FF3" w:rsidRPr="00D87FF3">
        <w:rPr>
          <w:rFonts w:ascii="Century Gothic" w:hAnsi="Century Gothic" w:cs="Century Gothic"/>
          <w:sz w:val="20"/>
          <w:lang w:val="en-MY" w:eastAsia="en-MY"/>
        </w:rPr>
        <w:t>period ended 30 June 2015</w:t>
      </w:r>
      <w:r w:rsidRPr="009620D0">
        <w:rPr>
          <w:rFonts w:ascii="Century Gothic" w:hAnsi="Century Gothic" w:cs="Century Gothic"/>
          <w:sz w:val="20"/>
          <w:lang w:val="en-MY" w:eastAsia="en-MY"/>
        </w:rPr>
        <w:t xml:space="preserve">. </w:t>
      </w:r>
    </w:p>
    <w:p w:rsidR="00E15740" w:rsidRPr="009620D0" w:rsidRDefault="00E15740" w:rsidP="00E15740">
      <w:pPr>
        <w:pStyle w:val="BodyTextIndent2"/>
        <w:ind w:left="720"/>
        <w:rPr>
          <w:rFonts w:ascii="Century Gothic" w:hAnsi="Century Gothic" w:cs="Century Gothic"/>
          <w:sz w:val="20"/>
          <w:lang w:val="en-MY" w:eastAsia="en-MY"/>
        </w:rPr>
      </w:pPr>
    </w:p>
    <w:p w:rsidR="00162459" w:rsidRPr="009620D0" w:rsidRDefault="00F10F08" w:rsidP="00F10F08">
      <w:pPr>
        <w:jc w:val="both"/>
        <w:rPr>
          <w:rFonts w:ascii="Century Gothic" w:hAnsi="Century Gothic"/>
          <w:b/>
        </w:rPr>
      </w:pPr>
      <w:r w:rsidRPr="009620D0">
        <w:rPr>
          <w:rFonts w:ascii="Century Gothic" w:hAnsi="Century Gothic"/>
          <w:b/>
        </w:rPr>
        <w:t>A2</w:t>
      </w:r>
      <w:r w:rsidR="001031F5" w:rsidRPr="009620D0">
        <w:rPr>
          <w:rFonts w:ascii="Century Gothic" w:hAnsi="Century Gothic"/>
          <w:b/>
        </w:rPr>
        <w:tab/>
      </w:r>
      <w:r w:rsidR="00E83DFB" w:rsidRPr="009620D0">
        <w:rPr>
          <w:rFonts w:ascii="Century Gothic" w:hAnsi="Century Gothic"/>
          <w:b/>
        </w:rPr>
        <w:t xml:space="preserve">Auditors’ Report </w:t>
      </w:r>
      <w:r w:rsidR="00C964D7" w:rsidRPr="009620D0">
        <w:rPr>
          <w:rFonts w:ascii="Century Gothic" w:hAnsi="Century Gothic"/>
          <w:b/>
        </w:rPr>
        <w:t>on</w:t>
      </w:r>
      <w:r w:rsidR="001031F5" w:rsidRPr="009620D0">
        <w:rPr>
          <w:rFonts w:ascii="Century Gothic" w:hAnsi="Century Gothic"/>
          <w:b/>
        </w:rPr>
        <w:t xml:space="preserve"> Preceding Annual Financial Statements</w:t>
      </w:r>
    </w:p>
    <w:p w:rsidR="00162459" w:rsidRPr="009620D0" w:rsidRDefault="00162459">
      <w:pPr>
        <w:ind w:left="360"/>
        <w:jc w:val="both"/>
        <w:rPr>
          <w:rFonts w:ascii="Century Gothic" w:hAnsi="Century Gothic"/>
        </w:rPr>
      </w:pPr>
    </w:p>
    <w:p w:rsidR="00E15740" w:rsidRPr="00956184" w:rsidRDefault="00380407" w:rsidP="00E15740">
      <w:pPr>
        <w:ind w:left="720"/>
        <w:jc w:val="both"/>
        <w:rPr>
          <w:rFonts w:ascii="Century Gothic" w:hAnsi="Century Gothic" w:cs="Century Gothic"/>
          <w:lang w:val="en-MY" w:eastAsia="en-MY"/>
        </w:rPr>
      </w:pPr>
      <w:r>
        <w:rPr>
          <w:rFonts w:ascii="Century Gothic" w:hAnsi="Century Gothic" w:cs="Century Gothic"/>
          <w:lang w:val="en-MY" w:eastAsia="en-MY"/>
        </w:rPr>
        <w:t>The auditors of the Company had issued a disclaimer of opinion report on the Company’s and Group’s financial statements for the fina</w:t>
      </w:r>
      <w:r w:rsidR="00F36161">
        <w:rPr>
          <w:rFonts w:ascii="Century Gothic" w:hAnsi="Century Gothic" w:cs="Century Gothic"/>
          <w:lang w:val="en-MY" w:eastAsia="en-MY"/>
        </w:rPr>
        <w:t>ncial period ended 30 June 2015.</w:t>
      </w:r>
      <w:r w:rsidR="00E15740">
        <w:rPr>
          <w:rFonts w:ascii="Century Gothic" w:hAnsi="Century Gothic" w:cs="Century Gothic"/>
          <w:lang w:val="en-MY" w:eastAsia="en-MY"/>
        </w:rPr>
        <w:t xml:space="preserve"> </w:t>
      </w:r>
    </w:p>
    <w:p w:rsidR="00225652" w:rsidRPr="009620D0" w:rsidRDefault="00225652" w:rsidP="007B2FE2">
      <w:pPr>
        <w:ind w:left="720" w:hanging="283"/>
        <w:jc w:val="both"/>
        <w:rPr>
          <w:rFonts w:ascii="Century Gothic" w:hAnsi="Century Gothic" w:cs="Century Gothic"/>
          <w:lang w:val="en-MY" w:eastAsia="en-MY"/>
        </w:rPr>
      </w:pPr>
    </w:p>
    <w:p w:rsidR="00FE6476" w:rsidRPr="009620D0" w:rsidRDefault="00FE6476" w:rsidP="00FE6476">
      <w:pPr>
        <w:jc w:val="both"/>
        <w:rPr>
          <w:rFonts w:ascii="Century Gothic" w:hAnsi="Century Gothic"/>
          <w:b/>
        </w:rPr>
      </w:pPr>
      <w:r w:rsidRPr="009620D0">
        <w:rPr>
          <w:rFonts w:ascii="Century Gothic" w:hAnsi="Century Gothic"/>
          <w:b/>
        </w:rPr>
        <w:t>A3</w:t>
      </w:r>
      <w:r w:rsidRPr="009620D0">
        <w:rPr>
          <w:rFonts w:ascii="Century Gothic" w:hAnsi="Century Gothic"/>
          <w:b/>
        </w:rPr>
        <w:tab/>
        <w:t xml:space="preserve">Seasonal </w:t>
      </w:r>
      <w:r w:rsidR="00C964D7" w:rsidRPr="009620D0">
        <w:rPr>
          <w:rFonts w:ascii="Century Gothic" w:hAnsi="Century Gothic"/>
          <w:b/>
        </w:rPr>
        <w:t>or</w:t>
      </w:r>
      <w:r w:rsidRPr="009620D0">
        <w:rPr>
          <w:rFonts w:ascii="Century Gothic" w:hAnsi="Century Gothic"/>
          <w:b/>
        </w:rPr>
        <w:t xml:space="preserve"> Cyclical Factors</w:t>
      </w:r>
    </w:p>
    <w:p w:rsidR="00FE6476" w:rsidRPr="009620D0" w:rsidRDefault="00FE6476" w:rsidP="00FE6476">
      <w:pPr>
        <w:ind w:left="360"/>
        <w:jc w:val="both"/>
        <w:rPr>
          <w:rFonts w:ascii="Century Gothic" w:hAnsi="Century Gothic"/>
          <w:sz w:val="14"/>
          <w:szCs w:val="14"/>
        </w:rPr>
      </w:pPr>
    </w:p>
    <w:p w:rsidR="00DC3B1B" w:rsidRPr="009620D0" w:rsidRDefault="004C647D" w:rsidP="00380407">
      <w:pPr>
        <w:ind w:left="720"/>
        <w:jc w:val="both"/>
        <w:rPr>
          <w:rFonts w:ascii="Century Gothic" w:hAnsi="Century Gothic"/>
          <w:b/>
        </w:rPr>
      </w:pPr>
      <w:r w:rsidRPr="009620D0">
        <w:rPr>
          <w:rFonts w:ascii="Century Gothic" w:hAnsi="Century Gothic"/>
        </w:rPr>
        <w:t>The Group’s core business is in Information Technology, where the revenue streams are mainly project driven</w:t>
      </w:r>
      <w:r w:rsidR="00B20A6A">
        <w:rPr>
          <w:rFonts w:ascii="Century Gothic" w:hAnsi="Century Gothic"/>
        </w:rPr>
        <w:t>.</w:t>
      </w:r>
      <w:r w:rsidRPr="009620D0">
        <w:rPr>
          <w:rFonts w:ascii="Century Gothic" w:hAnsi="Century Gothic"/>
        </w:rPr>
        <w:t xml:space="preserve"> </w:t>
      </w:r>
    </w:p>
    <w:p w:rsidR="00C709B6" w:rsidRDefault="00C709B6" w:rsidP="00F45733">
      <w:pPr>
        <w:ind w:left="720" w:hanging="720"/>
        <w:jc w:val="both"/>
        <w:rPr>
          <w:rFonts w:ascii="Century Gothic" w:hAnsi="Century Gothic"/>
          <w:b/>
        </w:rPr>
      </w:pPr>
    </w:p>
    <w:p w:rsidR="00E83DFB" w:rsidRPr="009620D0" w:rsidRDefault="00E83DFB">
      <w:pPr>
        <w:jc w:val="both"/>
        <w:rPr>
          <w:rFonts w:ascii="Century Gothic" w:hAnsi="Century Gothic"/>
          <w:b/>
        </w:rPr>
      </w:pPr>
      <w:r w:rsidRPr="009620D0">
        <w:rPr>
          <w:rFonts w:ascii="Century Gothic" w:hAnsi="Century Gothic"/>
          <w:b/>
        </w:rPr>
        <w:t>A4</w:t>
      </w:r>
      <w:r w:rsidR="001031F5" w:rsidRPr="009620D0">
        <w:rPr>
          <w:rFonts w:ascii="Century Gothic" w:hAnsi="Century Gothic"/>
          <w:b/>
        </w:rPr>
        <w:tab/>
      </w:r>
      <w:r w:rsidRPr="009620D0">
        <w:rPr>
          <w:rFonts w:ascii="Century Gothic" w:hAnsi="Century Gothic"/>
          <w:b/>
        </w:rPr>
        <w:t xml:space="preserve">Unusual </w:t>
      </w:r>
      <w:r w:rsidR="001031F5" w:rsidRPr="009620D0">
        <w:rPr>
          <w:rFonts w:ascii="Century Gothic" w:hAnsi="Century Gothic"/>
          <w:b/>
        </w:rPr>
        <w:t xml:space="preserve">Items Affecting Assets, Liabilities, Equity, Net Income </w:t>
      </w:r>
      <w:r w:rsidR="00FE6377" w:rsidRPr="009620D0">
        <w:rPr>
          <w:rFonts w:ascii="Century Gothic" w:hAnsi="Century Gothic"/>
          <w:b/>
        </w:rPr>
        <w:t>o</w:t>
      </w:r>
      <w:r w:rsidR="001031F5" w:rsidRPr="009620D0">
        <w:rPr>
          <w:rFonts w:ascii="Century Gothic" w:hAnsi="Century Gothic"/>
          <w:b/>
        </w:rPr>
        <w:t>r Cash Flows</w:t>
      </w:r>
    </w:p>
    <w:p w:rsidR="009E69CC" w:rsidRPr="009620D0" w:rsidRDefault="009E69CC">
      <w:pPr>
        <w:jc w:val="both"/>
        <w:rPr>
          <w:rFonts w:ascii="Century Gothic" w:hAnsi="Century Gothic"/>
          <w:b/>
          <w:sz w:val="14"/>
          <w:szCs w:val="14"/>
        </w:rPr>
      </w:pPr>
    </w:p>
    <w:p w:rsidR="00711AF2" w:rsidRPr="009620D0" w:rsidRDefault="004C647D" w:rsidP="00711AF2">
      <w:pPr>
        <w:ind w:left="720"/>
        <w:jc w:val="both"/>
        <w:rPr>
          <w:rFonts w:ascii="Century Gothic" w:hAnsi="Century Gothic"/>
        </w:rPr>
      </w:pPr>
      <w:r w:rsidRPr="009620D0">
        <w:rPr>
          <w:rFonts w:ascii="Century Gothic" w:hAnsi="Century Gothic"/>
        </w:rPr>
        <w:t xml:space="preserve">There were no items affecting assets, liabilities, equity, net income or cash flows of the Group that are unusual because of their nature, size or incidence during the current financial quarter under review. </w:t>
      </w:r>
    </w:p>
    <w:p w:rsidR="00A207AE" w:rsidRPr="009620D0" w:rsidRDefault="00A207AE">
      <w:pPr>
        <w:jc w:val="both"/>
        <w:rPr>
          <w:rFonts w:ascii="Century Gothic" w:hAnsi="Century Gothic"/>
          <w:sz w:val="16"/>
          <w:szCs w:val="16"/>
        </w:rPr>
      </w:pPr>
    </w:p>
    <w:p w:rsidR="00F20B66" w:rsidRPr="009620D0" w:rsidRDefault="00F20B66">
      <w:pPr>
        <w:jc w:val="both"/>
        <w:rPr>
          <w:rFonts w:ascii="Century Gothic" w:hAnsi="Century Gothic"/>
          <w:b/>
        </w:rPr>
      </w:pPr>
      <w:r w:rsidRPr="009620D0">
        <w:rPr>
          <w:rFonts w:ascii="Century Gothic" w:hAnsi="Century Gothic"/>
          <w:b/>
        </w:rPr>
        <w:t>A5</w:t>
      </w:r>
      <w:r w:rsidR="001031F5" w:rsidRPr="009620D0">
        <w:rPr>
          <w:rFonts w:ascii="Century Gothic" w:hAnsi="Century Gothic"/>
          <w:b/>
        </w:rPr>
        <w:tab/>
      </w:r>
      <w:r w:rsidRPr="009620D0">
        <w:rPr>
          <w:rFonts w:ascii="Century Gothic" w:hAnsi="Century Gothic"/>
          <w:b/>
        </w:rPr>
        <w:t xml:space="preserve">Material </w:t>
      </w:r>
      <w:r w:rsidR="001031F5" w:rsidRPr="009620D0">
        <w:rPr>
          <w:rFonts w:ascii="Century Gothic" w:hAnsi="Century Gothic"/>
          <w:b/>
        </w:rPr>
        <w:t xml:space="preserve">Changes </w:t>
      </w:r>
      <w:r w:rsidR="00C964D7" w:rsidRPr="009620D0">
        <w:rPr>
          <w:rFonts w:ascii="Century Gothic" w:hAnsi="Century Gothic"/>
          <w:b/>
        </w:rPr>
        <w:t>in</w:t>
      </w:r>
      <w:r w:rsidR="001031F5" w:rsidRPr="009620D0">
        <w:rPr>
          <w:rFonts w:ascii="Century Gothic" w:hAnsi="Century Gothic"/>
          <w:b/>
        </w:rPr>
        <w:t xml:space="preserve"> Estimates</w:t>
      </w:r>
    </w:p>
    <w:p w:rsidR="00F20B66" w:rsidRPr="009620D0" w:rsidRDefault="00F20B66">
      <w:pPr>
        <w:jc w:val="both"/>
        <w:rPr>
          <w:rFonts w:ascii="Century Gothic" w:hAnsi="Century Gothic"/>
          <w:b/>
        </w:rPr>
      </w:pPr>
    </w:p>
    <w:p w:rsidR="00F20B66" w:rsidRPr="009620D0" w:rsidRDefault="00884424" w:rsidP="00F20B66">
      <w:pPr>
        <w:ind w:left="720"/>
        <w:jc w:val="both"/>
        <w:rPr>
          <w:rFonts w:ascii="Century Gothic" w:hAnsi="Century Gothic"/>
        </w:rPr>
      </w:pPr>
      <w:r w:rsidRPr="009620D0">
        <w:rPr>
          <w:rFonts w:ascii="Century Gothic" w:hAnsi="Century Gothic"/>
        </w:rPr>
        <w:t>T</w:t>
      </w:r>
      <w:r w:rsidR="00EE0391" w:rsidRPr="009620D0">
        <w:rPr>
          <w:rFonts w:ascii="Century Gothic" w:hAnsi="Century Gothic"/>
        </w:rPr>
        <w:t>h</w:t>
      </w:r>
      <w:r w:rsidR="00F20B66" w:rsidRPr="009620D0">
        <w:rPr>
          <w:rFonts w:ascii="Century Gothic" w:hAnsi="Century Gothic"/>
        </w:rPr>
        <w:t xml:space="preserve">ere </w:t>
      </w:r>
      <w:r w:rsidRPr="009620D0">
        <w:rPr>
          <w:rFonts w:ascii="Century Gothic" w:hAnsi="Century Gothic"/>
        </w:rPr>
        <w:t>were</w:t>
      </w:r>
      <w:r w:rsidR="00F20B66" w:rsidRPr="009620D0">
        <w:rPr>
          <w:rFonts w:ascii="Century Gothic" w:hAnsi="Century Gothic"/>
        </w:rPr>
        <w:t xml:space="preserve"> no changes in estimates of amounts which may have a material effect in the current financial quarter under review.</w:t>
      </w:r>
    </w:p>
    <w:p w:rsidR="006F0226" w:rsidRPr="009620D0" w:rsidRDefault="006F0226" w:rsidP="006F0226">
      <w:pPr>
        <w:jc w:val="both"/>
        <w:rPr>
          <w:rFonts w:ascii="Century Gothic" w:hAnsi="Century Gothic"/>
          <w:b/>
        </w:rPr>
      </w:pPr>
    </w:p>
    <w:p w:rsidR="006F0226" w:rsidRPr="009620D0" w:rsidRDefault="006F0226" w:rsidP="006F0226">
      <w:pPr>
        <w:jc w:val="both"/>
        <w:rPr>
          <w:rFonts w:ascii="Century Gothic" w:hAnsi="Century Gothic"/>
          <w:b/>
        </w:rPr>
      </w:pPr>
      <w:r w:rsidRPr="009620D0">
        <w:rPr>
          <w:rFonts w:ascii="Century Gothic" w:hAnsi="Century Gothic"/>
          <w:b/>
        </w:rPr>
        <w:t>A6</w:t>
      </w:r>
      <w:r w:rsidRPr="009620D0">
        <w:rPr>
          <w:rFonts w:ascii="Century Gothic" w:hAnsi="Century Gothic"/>
          <w:b/>
        </w:rPr>
        <w:tab/>
        <w:t xml:space="preserve">Debts </w:t>
      </w:r>
      <w:r w:rsidR="00C964D7" w:rsidRPr="009620D0">
        <w:rPr>
          <w:rFonts w:ascii="Century Gothic" w:hAnsi="Century Gothic"/>
          <w:b/>
        </w:rPr>
        <w:t>and</w:t>
      </w:r>
      <w:r w:rsidRPr="009620D0">
        <w:rPr>
          <w:rFonts w:ascii="Century Gothic" w:hAnsi="Century Gothic"/>
          <w:b/>
        </w:rPr>
        <w:t xml:space="preserve"> Equity Securities</w:t>
      </w:r>
    </w:p>
    <w:p w:rsidR="006F0226" w:rsidRPr="009620D0" w:rsidRDefault="00B20A6A" w:rsidP="006F0226">
      <w:pPr>
        <w:tabs>
          <w:tab w:val="left" w:pos="720"/>
          <w:tab w:val="left" w:pos="1170"/>
        </w:tabs>
        <w:spacing w:before="240"/>
        <w:ind w:left="720"/>
        <w:jc w:val="both"/>
        <w:rPr>
          <w:rFonts w:ascii="Century Gothic" w:hAnsi="Century Gothic"/>
        </w:rPr>
      </w:pPr>
      <w:r>
        <w:rPr>
          <w:rFonts w:ascii="Century Gothic" w:hAnsi="Century Gothic"/>
        </w:rPr>
        <w:t xml:space="preserve">There were no </w:t>
      </w:r>
      <w:r w:rsidR="006F0226" w:rsidRPr="009620D0">
        <w:rPr>
          <w:rFonts w:ascii="Century Gothic" w:hAnsi="Century Gothic"/>
        </w:rPr>
        <w:t>issuance, cancellation, repurchase, resale and repayment of debt and equity securities for the current financial quarter.</w:t>
      </w:r>
    </w:p>
    <w:p w:rsidR="006F0226" w:rsidRPr="009620D0" w:rsidRDefault="006F0226" w:rsidP="006F0226">
      <w:pPr>
        <w:tabs>
          <w:tab w:val="left" w:pos="720"/>
          <w:tab w:val="left" w:pos="1170"/>
        </w:tabs>
        <w:jc w:val="both"/>
        <w:rPr>
          <w:rFonts w:ascii="Century Gothic" w:hAnsi="Century Gothic"/>
          <w:b/>
        </w:rPr>
      </w:pPr>
    </w:p>
    <w:p w:rsidR="00380407" w:rsidRDefault="00380407" w:rsidP="00A0608D">
      <w:pPr>
        <w:ind w:left="720"/>
        <w:jc w:val="both"/>
        <w:rPr>
          <w:rFonts w:ascii="Century Gothic" w:hAnsi="Century Gothic"/>
        </w:rPr>
      </w:pPr>
    </w:p>
    <w:p w:rsidR="00333DD6" w:rsidRDefault="00333DD6" w:rsidP="00A0608D">
      <w:pPr>
        <w:ind w:left="720"/>
        <w:jc w:val="both"/>
        <w:rPr>
          <w:rFonts w:ascii="Century Gothic" w:hAnsi="Century Gothic"/>
        </w:rPr>
      </w:pPr>
    </w:p>
    <w:p w:rsidR="00333DD6" w:rsidRDefault="00333DD6" w:rsidP="00A0608D">
      <w:pPr>
        <w:ind w:left="720"/>
        <w:jc w:val="both"/>
        <w:rPr>
          <w:rFonts w:ascii="Century Gothic" w:hAnsi="Century Gothic"/>
        </w:rPr>
      </w:pPr>
    </w:p>
    <w:p w:rsidR="00380407" w:rsidRPr="009620D0" w:rsidRDefault="00380407" w:rsidP="00380407">
      <w:pPr>
        <w:ind w:left="720" w:hanging="720"/>
        <w:jc w:val="both"/>
        <w:rPr>
          <w:rFonts w:ascii="Century Gothic" w:hAnsi="Century Gothic"/>
          <w:b/>
        </w:rPr>
      </w:pPr>
      <w:r w:rsidRPr="009620D0">
        <w:rPr>
          <w:rFonts w:ascii="Century Gothic" w:hAnsi="Century Gothic"/>
          <w:b/>
        </w:rPr>
        <w:lastRenderedPageBreak/>
        <w:t>A</w:t>
      </w:r>
      <w:r w:rsidRPr="009620D0">
        <w:rPr>
          <w:rFonts w:ascii="Century Gothic" w:hAnsi="Century Gothic"/>
          <w:b/>
        </w:rPr>
        <w:tab/>
        <w:t>EXPLANATORY NOTES PURSUANT TO FINANCIAL REPORTING STANDARD 134 INTERIM FINANCIAL REPORTING (CONT’D)</w:t>
      </w:r>
    </w:p>
    <w:p w:rsidR="00A0608D" w:rsidRDefault="00A0608D" w:rsidP="00A0608D">
      <w:pPr>
        <w:jc w:val="both"/>
        <w:rPr>
          <w:rFonts w:ascii="Century Gothic" w:hAnsi="Century Gothic"/>
          <w:sz w:val="16"/>
          <w:szCs w:val="16"/>
        </w:rPr>
      </w:pPr>
    </w:p>
    <w:p w:rsidR="00380407" w:rsidRPr="009620D0" w:rsidRDefault="00380407" w:rsidP="00A0608D">
      <w:pPr>
        <w:jc w:val="both"/>
        <w:rPr>
          <w:rFonts w:ascii="Century Gothic" w:hAnsi="Century Gothic"/>
          <w:sz w:val="16"/>
          <w:szCs w:val="16"/>
        </w:rPr>
      </w:pPr>
    </w:p>
    <w:p w:rsidR="00E75CE3" w:rsidRPr="009620D0" w:rsidRDefault="00C54966" w:rsidP="00E75CE3">
      <w:pPr>
        <w:jc w:val="both"/>
        <w:rPr>
          <w:rFonts w:ascii="Century Gothic" w:hAnsi="Century Gothic"/>
          <w:b/>
        </w:rPr>
      </w:pPr>
      <w:r>
        <w:rPr>
          <w:rFonts w:ascii="Century Gothic" w:hAnsi="Century Gothic"/>
          <w:b/>
        </w:rPr>
        <w:t>A</w:t>
      </w:r>
      <w:r w:rsidR="00333DD6">
        <w:rPr>
          <w:rFonts w:ascii="Century Gothic" w:hAnsi="Century Gothic"/>
          <w:b/>
        </w:rPr>
        <w:t>7</w:t>
      </w:r>
      <w:r w:rsidR="009212A5" w:rsidRPr="009620D0">
        <w:rPr>
          <w:rFonts w:ascii="Century Gothic" w:hAnsi="Century Gothic"/>
          <w:b/>
        </w:rPr>
        <w:tab/>
        <w:t>Valuation of Property, Plant and Equipment</w:t>
      </w:r>
    </w:p>
    <w:p w:rsidR="00E75CE3" w:rsidRPr="009620D0" w:rsidRDefault="00E75CE3" w:rsidP="00E75CE3">
      <w:pPr>
        <w:jc w:val="both"/>
        <w:rPr>
          <w:rFonts w:ascii="Century Gothic" w:hAnsi="Century Gothic"/>
          <w:b/>
        </w:rPr>
      </w:pPr>
    </w:p>
    <w:p w:rsidR="00E75CE3" w:rsidRPr="009620D0" w:rsidRDefault="009212A5" w:rsidP="00E75CE3">
      <w:pPr>
        <w:jc w:val="both"/>
        <w:rPr>
          <w:rFonts w:ascii="Century Gothic" w:hAnsi="Century Gothic"/>
        </w:rPr>
      </w:pPr>
      <w:r w:rsidRPr="009620D0">
        <w:rPr>
          <w:rFonts w:ascii="Century Gothic" w:hAnsi="Century Gothic"/>
          <w:b/>
        </w:rPr>
        <w:tab/>
      </w:r>
      <w:r w:rsidRPr="009620D0">
        <w:rPr>
          <w:rFonts w:ascii="Century Gothic" w:hAnsi="Century Gothic"/>
        </w:rPr>
        <w:t>The Group did not carry out any valuation of its property, plant and equipment.</w:t>
      </w:r>
    </w:p>
    <w:p w:rsidR="007A4704" w:rsidRPr="009620D0" w:rsidRDefault="007A4704" w:rsidP="00A878CF">
      <w:pPr>
        <w:ind w:left="720" w:hanging="720"/>
        <w:jc w:val="both"/>
        <w:rPr>
          <w:rFonts w:ascii="Century Gothic" w:hAnsi="Century Gothic"/>
          <w:b/>
        </w:rPr>
      </w:pPr>
    </w:p>
    <w:p w:rsidR="007A4704" w:rsidRPr="003B6373" w:rsidRDefault="009212A5" w:rsidP="007A4704">
      <w:pPr>
        <w:jc w:val="both"/>
        <w:rPr>
          <w:rFonts w:ascii="Century Gothic" w:hAnsi="Century Gothic"/>
          <w:b/>
        </w:rPr>
      </w:pPr>
      <w:r w:rsidRPr="003B6373">
        <w:rPr>
          <w:rFonts w:ascii="Century Gothic" w:hAnsi="Century Gothic"/>
          <w:b/>
        </w:rPr>
        <w:t>A</w:t>
      </w:r>
      <w:r w:rsidR="00333DD6">
        <w:rPr>
          <w:rFonts w:ascii="Century Gothic" w:hAnsi="Century Gothic"/>
          <w:b/>
        </w:rPr>
        <w:t>8</w:t>
      </w:r>
      <w:r w:rsidRPr="003B6373">
        <w:rPr>
          <w:rFonts w:ascii="Century Gothic" w:hAnsi="Century Gothic"/>
          <w:b/>
        </w:rPr>
        <w:tab/>
        <w:t>Material Events Subsequent To the Financial Quarter</w:t>
      </w:r>
    </w:p>
    <w:p w:rsidR="007A4704" w:rsidRPr="003B6373" w:rsidRDefault="007A4704" w:rsidP="007A4704">
      <w:pPr>
        <w:jc w:val="both"/>
        <w:rPr>
          <w:rFonts w:ascii="Century Gothic" w:hAnsi="Century Gothic"/>
          <w:b/>
        </w:rPr>
      </w:pPr>
    </w:p>
    <w:p w:rsidR="00A16304" w:rsidRDefault="00380407" w:rsidP="003B6373">
      <w:pPr>
        <w:ind w:left="720"/>
        <w:jc w:val="both"/>
        <w:rPr>
          <w:rFonts w:ascii="Century Gothic" w:hAnsi="Century Gothic"/>
        </w:rPr>
      </w:pPr>
      <w:r w:rsidRPr="003B6373">
        <w:rPr>
          <w:rFonts w:ascii="Century Gothic" w:hAnsi="Century Gothic"/>
        </w:rPr>
        <w:t>There were no material events subsequent to this financial quarter</w:t>
      </w:r>
      <w:r w:rsidR="003B6373" w:rsidRPr="003B6373">
        <w:rPr>
          <w:rFonts w:ascii="Century Gothic" w:hAnsi="Century Gothic"/>
        </w:rPr>
        <w:t xml:space="preserve"> other than those disclosed in Note B8.</w:t>
      </w:r>
    </w:p>
    <w:p w:rsidR="007A4704" w:rsidRPr="009620D0" w:rsidRDefault="00A16304" w:rsidP="007A4704">
      <w:pPr>
        <w:ind w:left="720"/>
        <w:jc w:val="both"/>
        <w:rPr>
          <w:rFonts w:ascii="Century Gothic" w:hAnsi="Century Gothic"/>
        </w:rPr>
      </w:pPr>
      <w:r w:rsidRPr="00A16304">
        <w:rPr>
          <w:rFonts w:ascii="Century Gothic" w:hAnsi="Century Gothic"/>
        </w:rPr>
        <w:t xml:space="preserve">  </w:t>
      </w:r>
    </w:p>
    <w:p w:rsidR="00342553" w:rsidRPr="009620D0" w:rsidRDefault="009212A5" w:rsidP="000604F5">
      <w:pPr>
        <w:jc w:val="both"/>
        <w:rPr>
          <w:rFonts w:ascii="Century Gothic" w:hAnsi="Century Gothic"/>
          <w:b/>
        </w:rPr>
      </w:pPr>
      <w:r w:rsidRPr="009620D0">
        <w:rPr>
          <w:rFonts w:ascii="Century Gothic" w:hAnsi="Century Gothic"/>
          <w:b/>
        </w:rPr>
        <w:t>A</w:t>
      </w:r>
      <w:r w:rsidR="00333DD6">
        <w:rPr>
          <w:rFonts w:ascii="Century Gothic" w:hAnsi="Century Gothic"/>
          <w:b/>
        </w:rPr>
        <w:t>9</w:t>
      </w:r>
      <w:r w:rsidRPr="009620D0">
        <w:rPr>
          <w:rFonts w:ascii="Century Gothic" w:hAnsi="Century Gothic"/>
          <w:b/>
        </w:rPr>
        <w:tab/>
        <w:t>Changes in the Composition of the Group</w:t>
      </w:r>
    </w:p>
    <w:p w:rsidR="000604F5" w:rsidRPr="009620D0" w:rsidRDefault="000604F5" w:rsidP="000604F5">
      <w:pPr>
        <w:jc w:val="both"/>
        <w:rPr>
          <w:rFonts w:ascii="Century Gothic" w:hAnsi="Century Gothic"/>
        </w:rPr>
      </w:pPr>
    </w:p>
    <w:p w:rsidR="00A16304" w:rsidRDefault="00A16304" w:rsidP="00A16304">
      <w:pPr>
        <w:ind w:left="720"/>
        <w:jc w:val="both"/>
        <w:rPr>
          <w:rFonts w:ascii="Century Gothic" w:hAnsi="Century Gothic"/>
        </w:rPr>
      </w:pPr>
      <w:r w:rsidRPr="003A46B9">
        <w:rPr>
          <w:rFonts w:ascii="Century Gothic" w:hAnsi="Century Gothic"/>
        </w:rPr>
        <w:t>There was</w:t>
      </w:r>
      <w:r>
        <w:rPr>
          <w:rFonts w:ascii="Century Gothic" w:hAnsi="Century Gothic"/>
        </w:rPr>
        <w:t xml:space="preserve"> no change in the composition of the Group for the </w:t>
      </w:r>
      <w:r w:rsidR="003B6373">
        <w:rPr>
          <w:rFonts w:ascii="Century Gothic" w:hAnsi="Century Gothic"/>
        </w:rPr>
        <w:t>quarter</w:t>
      </w:r>
      <w:r>
        <w:rPr>
          <w:rFonts w:ascii="Century Gothic" w:hAnsi="Century Gothic"/>
        </w:rPr>
        <w:t xml:space="preserve"> under review.</w:t>
      </w:r>
    </w:p>
    <w:p w:rsidR="00A16304" w:rsidRDefault="00A16304" w:rsidP="00A16304">
      <w:pPr>
        <w:ind w:left="720"/>
        <w:jc w:val="both"/>
        <w:rPr>
          <w:rFonts w:ascii="Century Gothic" w:hAnsi="Century Gothic"/>
        </w:rPr>
      </w:pPr>
    </w:p>
    <w:p w:rsidR="00774459" w:rsidRPr="009620D0" w:rsidRDefault="009212A5" w:rsidP="00774459">
      <w:pPr>
        <w:jc w:val="both"/>
        <w:rPr>
          <w:rFonts w:ascii="Century Gothic" w:hAnsi="Century Gothic"/>
          <w:b/>
        </w:rPr>
      </w:pPr>
      <w:r w:rsidRPr="009620D0">
        <w:rPr>
          <w:rFonts w:ascii="Century Gothic" w:hAnsi="Century Gothic"/>
          <w:b/>
        </w:rPr>
        <w:t>A1</w:t>
      </w:r>
      <w:r w:rsidR="00333DD6">
        <w:rPr>
          <w:rFonts w:ascii="Century Gothic" w:hAnsi="Century Gothic"/>
          <w:b/>
        </w:rPr>
        <w:t>0</w:t>
      </w:r>
      <w:r w:rsidRPr="009620D0">
        <w:rPr>
          <w:rFonts w:ascii="Century Gothic" w:hAnsi="Century Gothic"/>
          <w:b/>
        </w:rPr>
        <w:tab/>
        <w:t>Contingent Liability</w:t>
      </w:r>
    </w:p>
    <w:p w:rsidR="00774459" w:rsidRPr="009620D0" w:rsidRDefault="00774459" w:rsidP="00774459">
      <w:pPr>
        <w:jc w:val="both"/>
        <w:rPr>
          <w:rFonts w:ascii="Century Gothic" w:hAnsi="Century Gothic"/>
          <w:b/>
        </w:rPr>
      </w:pPr>
    </w:p>
    <w:p w:rsidR="00774459" w:rsidRPr="009620D0" w:rsidRDefault="009212A5" w:rsidP="00774459">
      <w:pPr>
        <w:ind w:left="720"/>
        <w:jc w:val="both"/>
        <w:rPr>
          <w:rFonts w:ascii="Century Gothic" w:hAnsi="Century Gothic"/>
        </w:rPr>
      </w:pPr>
      <w:r w:rsidRPr="009620D0">
        <w:rPr>
          <w:rFonts w:ascii="Century Gothic" w:hAnsi="Century Gothic"/>
        </w:rPr>
        <w:t xml:space="preserve">The Group does not have any contingent liability as </w:t>
      </w:r>
      <w:r w:rsidR="00380407">
        <w:rPr>
          <w:rFonts w:ascii="Century Gothic" w:hAnsi="Century Gothic"/>
        </w:rPr>
        <w:t>at the date of the announcement other than those disclosed in Note B</w:t>
      </w:r>
      <w:r w:rsidR="00B20A6A">
        <w:rPr>
          <w:rFonts w:ascii="Century Gothic" w:hAnsi="Century Gothic"/>
        </w:rPr>
        <w:t>8</w:t>
      </w:r>
      <w:r w:rsidR="00380407">
        <w:rPr>
          <w:rFonts w:ascii="Century Gothic" w:hAnsi="Century Gothic"/>
        </w:rPr>
        <w:t>.</w:t>
      </w:r>
    </w:p>
    <w:p w:rsidR="00774459" w:rsidRPr="009620D0" w:rsidRDefault="00774459" w:rsidP="00774459">
      <w:pPr>
        <w:jc w:val="both"/>
        <w:rPr>
          <w:rFonts w:ascii="Century Gothic" w:hAnsi="Century Gothic"/>
          <w:b/>
          <w:sz w:val="16"/>
          <w:szCs w:val="16"/>
        </w:rPr>
      </w:pPr>
    </w:p>
    <w:p w:rsidR="00774459" w:rsidRPr="009620D0" w:rsidRDefault="009212A5" w:rsidP="00774459">
      <w:pPr>
        <w:ind w:left="720" w:hanging="720"/>
        <w:rPr>
          <w:rFonts w:ascii="Century Gothic" w:hAnsi="Century Gothic"/>
          <w:b/>
          <w:sz w:val="24"/>
        </w:rPr>
      </w:pPr>
      <w:r w:rsidRPr="009620D0">
        <w:rPr>
          <w:rFonts w:ascii="Century Gothic" w:hAnsi="Century Gothic"/>
          <w:b/>
        </w:rPr>
        <w:t>A1</w:t>
      </w:r>
      <w:r w:rsidR="00333DD6">
        <w:rPr>
          <w:rFonts w:ascii="Century Gothic" w:hAnsi="Century Gothic"/>
          <w:b/>
        </w:rPr>
        <w:t>1</w:t>
      </w:r>
      <w:r w:rsidRPr="009620D0">
        <w:rPr>
          <w:rFonts w:ascii="Century Gothic" w:hAnsi="Century Gothic"/>
          <w:b/>
        </w:rPr>
        <w:tab/>
        <w:t>Significant Related Party Transactions</w:t>
      </w:r>
    </w:p>
    <w:p w:rsidR="00774459" w:rsidRPr="009620D0" w:rsidRDefault="00774459" w:rsidP="00774459">
      <w:pPr>
        <w:rPr>
          <w:rFonts w:ascii="Century Gothic" w:hAnsi="Century Gothic"/>
          <w:b/>
        </w:rPr>
      </w:pPr>
    </w:p>
    <w:p w:rsidR="00774459" w:rsidRDefault="009212A5" w:rsidP="00774459">
      <w:pPr>
        <w:rPr>
          <w:rFonts w:ascii="Century Gothic" w:hAnsi="Century Gothic"/>
        </w:rPr>
      </w:pPr>
      <w:r w:rsidRPr="009620D0">
        <w:rPr>
          <w:rFonts w:ascii="Century Gothic" w:hAnsi="Century Gothic"/>
          <w:b/>
        </w:rPr>
        <w:tab/>
      </w:r>
      <w:r w:rsidRPr="009620D0">
        <w:rPr>
          <w:rFonts w:ascii="Century Gothic" w:hAnsi="Century Gothic"/>
        </w:rPr>
        <w:t>There were no significant related party transactions during the financial quarter under review.</w:t>
      </w:r>
    </w:p>
    <w:p w:rsidR="00A16304" w:rsidRDefault="00A16304" w:rsidP="00A16304">
      <w:pPr>
        <w:rPr>
          <w:rFonts w:ascii="Century Gothic" w:hAnsi="Century Gothic"/>
        </w:rPr>
      </w:pPr>
    </w:p>
    <w:p w:rsidR="003F0F0B" w:rsidRDefault="003F0F0B" w:rsidP="00B15298">
      <w:pPr>
        <w:ind w:left="720" w:hanging="720"/>
        <w:jc w:val="both"/>
        <w:rPr>
          <w:rFonts w:ascii="Century Gothic" w:hAnsi="Century Gothic"/>
          <w:b/>
        </w:rPr>
      </w:pPr>
    </w:p>
    <w:p w:rsidR="00033A56" w:rsidRPr="009620D0" w:rsidRDefault="009212A5" w:rsidP="00B15298">
      <w:pPr>
        <w:ind w:left="720" w:hanging="720"/>
        <w:jc w:val="both"/>
        <w:rPr>
          <w:rFonts w:ascii="Century Gothic" w:hAnsi="Century Gothic"/>
          <w:b/>
        </w:rPr>
      </w:pPr>
      <w:r w:rsidRPr="009620D0">
        <w:rPr>
          <w:rFonts w:ascii="Century Gothic" w:hAnsi="Century Gothic"/>
          <w:b/>
        </w:rPr>
        <w:t>B</w:t>
      </w:r>
      <w:r w:rsidRPr="009620D0">
        <w:rPr>
          <w:rFonts w:ascii="Century Gothic" w:hAnsi="Century Gothic"/>
          <w:b/>
        </w:rPr>
        <w:tab/>
        <w:t>EXPLANATORY NOTES PURSUANT TO APPENDIX 9B OF THE ACE MARKE</w:t>
      </w:r>
      <w:r w:rsidR="005C2A59">
        <w:rPr>
          <w:rFonts w:ascii="Century Gothic" w:hAnsi="Century Gothic"/>
          <w:b/>
        </w:rPr>
        <w:t xml:space="preserve">T LISTING REQUIREMENTS OF BURSA </w:t>
      </w:r>
      <w:r w:rsidRPr="009620D0">
        <w:rPr>
          <w:rFonts w:ascii="Century Gothic" w:hAnsi="Century Gothic"/>
          <w:b/>
        </w:rPr>
        <w:t xml:space="preserve">SECURITIES </w:t>
      </w:r>
    </w:p>
    <w:p w:rsidR="0062046F" w:rsidRPr="009620D0" w:rsidRDefault="0062046F" w:rsidP="00B15298">
      <w:pPr>
        <w:ind w:left="720" w:hanging="720"/>
        <w:jc w:val="both"/>
        <w:rPr>
          <w:rFonts w:ascii="Century Gothic" w:hAnsi="Century Gothic"/>
          <w:b/>
        </w:rPr>
      </w:pPr>
    </w:p>
    <w:p w:rsidR="00212928" w:rsidRPr="009620D0" w:rsidRDefault="00212928">
      <w:pPr>
        <w:pStyle w:val="BodyText"/>
        <w:rPr>
          <w:rFonts w:ascii="Century Gothic" w:hAnsi="Century Gothic"/>
          <w:b/>
          <w:sz w:val="16"/>
          <w:szCs w:val="16"/>
        </w:rPr>
      </w:pPr>
    </w:p>
    <w:p w:rsidR="00162459" w:rsidRPr="009620D0" w:rsidRDefault="009212A5">
      <w:pPr>
        <w:pStyle w:val="BodyText"/>
        <w:rPr>
          <w:rFonts w:ascii="Century Gothic" w:hAnsi="Century Gothic"/>
          <w:b/>
          <w:sz w:val="20"/>
        </w:rPr>
      </w:pPr>
      <w:r w:rsidRPr="009620D0">
        <w:rPr>
          <w:rFonts w:ascii="Century Gothic" w:hAnsi="Century Gothic"/>
          <w:b/>
          <w:sz w:val="20"/>
        </w:rPr>
        <w:t>B1</w:t>
      </w:r>
      <w:r w:rsidRPr="009620D0">
        <w:rPr>
          <w:rFonts w:ascii="Century Gothic" w:hAnsi="Century Gothic"/>
          <w:b/>
          <w:sz w:val="20"/>
        </w:rPr>
        <w:tab/>
        <w:t>Performance Analysis</w:t>
      </w:r>
    </w:p>
    <w:p w:rsidR="00162459" w:rsidRPr="009620D0" w:rsidRDefault="00162459">
      <w:pPr>
        <w:pStyle w:val="BodyText"/>
        <w:rPr>
          <w:rFonts w:ascii="Century Gothic" w:hAnsi="Century Gothic"/>
          <w:sz w:val="20"/>
        </w:rPr>
      </w:pPr>
    </w:p>
    <w:p w:rsidR="00673DE3" w:rsidRPr="009620D0" w:rsidRDefault="009212A5" w:rsidP="002565D2">
      <w:pPr>
        <w:pStyle w:val="BodyText"/>
        <w:ind w:left="720"/>
        <w:rPr>
          <w:rFonts w:ascii="Century Gothic" w:hAnsi="Century Gothic"/>
          <w:sz w:val="20"/>
        </w:rPr>
      </w:pPr>
      <w:r w:rsidRPr="009620D0">
        <w:rPr>
          <w:rFonts w:ascii="Century Gothic" w:hAnsi="Century Gothic"/>
          <w:sz w:val="20"/>
        </w:rPr>
        <w:t xml:space="preserve">The Group recorded revenue and </w:t>
      </w:r>
      <w:r w:rsidR="0096050D">
        <w:rPr>
          <w:rFonts w:ascii="Century Gothic" w:hAnsi="Century Gothic"/>
          <w:sz w:val="20"/>
        </w:rPr>
        <w:t>l</w:t>
      </w:r>
      <w:r w:rsidR="00C54966">
        <w:rPr>
          <w:rFonts w:ascii="Century Gothic" w:hAnsi="Century Gothic"/>
          <w:sz w:val="20"/>
        </w:rPr>
        <w:t>oss</w:t>
      </w:r>
      <w:r w:rsidRPr="009620D0">
        <w:rPr>
          <w:rFonts w:ascii="Century Gothic" w:hAnsi="Century Gothic"/>
          <w:sz w:val="20"/>
        </w:rPr>
        <w:t xml:space="preserve"> before taxation of </w:t>
      </w:r>
      <w:r w:rsidR="00D11405">
        <w:rPr>
          <w:rFonts w:ascii="Century Gothic" w:hAnsi="Century Gothic"/>
          <w:sz w:val="20"/>
        </w:rPr>
        <w:t>RM</w:t>
      </w:r>
      <w:r w:rsidR="00D11405" w:rsidRPr="00C54966">
        <w:rPr>
          <w:rFonts w:ascii="Century Gothic" w:hAnsi="Century Gothic"/>
          <w:sz w:val="20"/>
        </w:rPr>
        <w:t>1</w:t>
      </w:r>
      <w:r w:rsidR="00D11405">
        <w:rPr>
          <w:rFonts w:ascii="Century Gothic" w:hAnsi="Century Gothic"/>
          <w:sz w:val="20"/>
        </w:rPr>
        <w:t>.</w:t>
      </w:r>
      <w:r w:rsidR="003B6373">
        <w:rPr>
          <w:rFonts w:ascii="Century Gothic" w:hAnsi="Century Gothic"/>
          <w:sz w:val="20"/>
        </w:rPr>
        <w:t>953</w:t>
      </w:r>
      <w:r w:rsidR="00D11405" w:rsidRPr="00C54966">
        <w:rPr>
          <w:rFonts w:ascii="Century Gothic" w:hAnsi="Century Gothic"/>
          <w:sz w:val="20"/>
        </w:rPr>
        <w:t xml:space="preserve"> </w:t>
      </w:r>
      <w:r w:rsidR="00C54966" w:rsidRPr="009620D0">
        <w:rPr>
          <w:rFonts w:ascii="Century Gothic" w:hAnsi="Century Gothic"/>
          <w:sz w:val="20"/>
        </w:rPr>
        <w:t>million</w:t>
      </w:r>
      <w:r w:rsidRPr="009620D0">
        <w:rPr>
          <w:rFonts w:ascii="Century Gothic" w:hAnsi="Century Gothic"/>
          <w:sz w:val="20"/>
        </w:rPr>
        <w:t xml:space="preserve"> and </w:t>
      </w:r>
      <w:r w:rsidR="0095586B">
        <w:rPr>
          <w:rFonts w:ascii="Century Gothic" w:hAnsi="Century Gothic"/>
          <w:sz w:val="20"/>
        </w:rPr>
        <w:t>RM</w:t>
      </w:r>
      <w:r w:rsidR="00C54966">
        <w:rPr>
          <w:rFonts w:ascii="Century Gothic" w:hAnsi="Century Gothic"/>
          <w:sz w:val="20"/>
        </w:rPr>
        <w:t>0.</w:t>
      </w:r>
      <w:r w:rsidR="003B6373">
        <w:rPr>
          <w:rFonts w:ascii="Century Gothic" w:hAnsi="Century Gothic"/>
          <w:sz w:val="20"/>
        </w:rPr>
        <w:t>379</w:t>
      </w:r>
      <w:r w:rsidR="00C54966">
        <w:rPr>
          <w:rFonts w:ascii="Century Gothic" w:hAnsi="Century Gothic"/>
          <w:sz w:val="20"/>
        </w:rPr>
        <w:t xml:space="preserve"> </w:t>
      </w:r>
      <w:r w:rsidRPr="009620D0">
        <w:rPr>
          <w:rFonts w:ascii="Century Gothic" w:hAnsi="Century Gothic"/>
          <w:sz w:val="20"/>
        </w:rPr>
        <w:t>million respectively.</w:t>
      </w:r>
    </w:p>
    <w:p w:rsidR="004D0A15" w:rsidRPr="009620D0" w:rsidRDefault="004D0A15" w:rsidP="002565D2">
      <w:pPr>
        <w:pStyle w:val="BodyText"/>
        <w:ind w:left="720"/>
        <w:rPr>
          <w:rFonts w:ascii="Century Gothic" w:hAnsi="Century Gothic"/>
          <w:sz w:val="20"/>
        </w:rPr>
      </w:pPr>
    </w:p>
    <w:p w:rsidR="00DD4490" w:rsidRPr="00C2366B" w:rsidRDefault="009212A5">
      <w:pPr>
        <w:pStyle w:val="BodyText"/>
        <w:rPr>
          <w:rFonts w:ascii="Century Gothic" w:hAnsi="Century Gothic"/>
          <w:b/>
          <w:sz w:val="20"/>
        </w:rPr>
      </w:pPr>
      <w:r w:rsidRPr="00C2366B">
        <w:rPr>
          <w:rFonts w:ascii="Century Gothic" w:hAnsi="Century Gothic"/>
          <w:b/>
          <w:sz w:val="20"/>
        </w:rPr>
        <w:t>B2</w:t>
      </w:r>
      <w:r w:rsidRPr="00C2366B">
        <w:rPr>
          <w:rFonts w:ascii="Century Gothic" w:hAnsi="Century Gothic"/>
          <w:b/>
          <w:sz w:val="20"/>
        </w:rPr>
        <w:tab/>
        <w:t>Comparison with Immediate Preceding Quarter</w:t>
      </w:r>
    </w:p>
    <w:p w:rsidR="00DD4490" w:rsidRPr="00C2366B" w:rsidRDefault="00DD4490">
      <w:pPr>
        <w:pStyle w:val="BodyText"/>
        <w:rPr>
          <w:rFonts w:ascii="Century Gothic" w:hAnsi="Century Gothic"/>
          <w:b/>
          <w:sz w:val="16"/>
          <w:szCs w:val="16"/>
        </w:rPr>
      </w:pPr>
    </w:p>
    <w:p w:rsidR="00CF4134" w:rsidRPr="00C2366B" w:rsidRDefault="00CF4134" w:rsidP="00CF4134">
      <w:pPr>
        <w:pStyle w:val="BodyText"/>
        <w:ind w:left="720"/>
        <w:rPr>
          <w:rFonts w:ascii="Century Gothic" w:hAnsi="Century Gothic"/>
          <w:sz w:val="20"/>
        </w:rPr>
      </w:pPr>
      <w:r w:rsidRPr="00C2366B">
        <w:rPr>
          <w:rFonts w:ascii="Century Gothic" w:hAnsi="Century Gothic"/>
          <w:sz w:val="20"/>
        </w:rPr>
        <w:t xml:space="preserve">The Group recorded revenue of </w:t>
      </w:r>
      <w:r w:rsidR="0096050D" w:rsidRPr="00C2366B">
        <w:rPr>
          <w:rFonts w:ascii="Century Gothic" w:hAnsi="Century Gothic"/>
          <w:sz w:val="20"/>
        </w:rPr>
        <w:t>RM1.</w:t>
      </w:r>
      <w:r w:rsidR="00DF0365" w:rsidRPr="00C2366B">
        <w:rPr>
          <w:rFonts w:ascii="Century Gothic" w:hAnsi="Century Gothic"/>
          <w:sz w:val="20"/>
        </w:rPr>
        <w:t>953</w:t>
      </w:r>
      <w:r w:rsidR="0096050D" w:rsidRPr="00C2366B">
        <w:rPr>
          <w:rFonts w:ascii="Century Gothic" w:hAnsi="Century Gothic"/>
          <w:sz w:val="20"/>
        </w:rPr>
        <w:t xml:space="preserve"> </w:t>
      </w:r>
      <w:r w:rsidRPr="00C2366B">
        <w:rPr>
          <w:rFonts w:ascii="Century Gothic" w:hAnsi="Century Gothic"/>
          <w:sz w:val="20"/>
        </w:rPr>
        <w:t xml:space="preserve">million in the current financial quarter under review. This represents </w:t>
      </w:r>
      <w:r w:rsidR="00B20A6A" w:rsidRPr="00C2366B">
        <w:rPr>
          <w:rFonts w:ascii="Century Gothic" w:hAnsi="Century Gothic"/>
          <w:sz w:val="20"/>
        </w:rPr>
        <w:t xml:space="preserve">a </w:t>
      </w:r>
      <w:r w:rsidR="0096050D" w:rsidRPr="00C2366B">
        <w:rPr>
          <w:rFonts w:ascii="Century Gothic" w:hAnsi="Century Gothic"/>
          <w:sz w:val="20"/>
        </w:rPr>
        <w:t>decrease</w:t>
      </w:r>
      <w:r w:rsidRPr="00C2366B">
        <w:rPr>
          <w:rFonts w:ascii="Century Gothic" w:hAnsi="Century Gothic"/>
          <w:sz w:val="20"/>
        </w:rPr>
        <w:t xml:space="preserve"> of approximately RM</w:t>
      </w:r>
      <w:r w:rsidR="00D11405" w:rsidRPr="00C2366B">
        <w:rPr>
          <w:rFonts w:ascii="Century Gothic" w:hAnsi="Century Gothic"/>
          <w:sz w:val="20"/>
        </w:rPr>
        <w:t>2</w:t>
      </w:r>
      <w:r w:rsidR="00756E08" w:rsidRPr="00C2366B">
        <w:rPr>
          <w:rFonts w:ascii="Century Gothic" w:hAnsi="Century Gothic"/>
          <w:sz w:val="20"/>
        </w:rPr>
        <w:t>.</w:t>
      </w:r>
      <w:r w:rsidR="00DF0365" w:rsidRPr="00C2366B">
        <w:rPr>
          <w:rFonts w:ascii="Century Gothic" w:hAnsi="Century Gothic"/>
          <w:sz w:val="20"/>
        </w:rPr>
        <w:t>129</w:t>
      </w:r>
      <w:r w:rsidRPr="00C2366B">
        <w:rPr>
          <w:rFonts w:ascii="Century Gothic" w:hAnsi="Century Gothic"/>
          <w:sz w:val="20"/>
        </w:rPr>
        <w:t xml:space="preserve"> million or </w:t>
      </w:r>
      <w:r w:rsidR="00D11405" w:rsidRPr="00C2366B">
        <w:rPr>
          <w:rFonts w:ascii="Century Gothic" w:hAnsi="Century Gothic"/>
          <w:sz w:val="20"/>
        </w:rPr>
        <w:t>5</w:t>
      </w:r>
      <w:r w:rsidR="00DF0365" w:rsidRPr="00C2366B">
        <w:rPr>
          <w:rFonts w:ascii="Century Gothic" w:hAnsi="Century Gothic"/>
          <w:sz w:val="20"/>
        </w:rPr>
        <w:t>2</w:t>
      </w:r>
      <w:r w:rsidRPr="00C2366B">
        <w:rPr>
          <w:rFonts w:ascii="Century Gothic" w:hAnsi="Century Gothic"/>
          <w:sz w:val="20"/>
        </w:rPr>
        <w:t xml:space="preserve">% from the revenue of </w:t>
      </w:r>
      <w:r w:rsidR="0096050D" w:rsidRPr="00C2366B">
        <w:rPr>
          <w:rFonts w:ascii="Century Gothic" w:hAnsi="Century Gothic"/>
          <w:sz w:val="20"/>
        </w:rPr>
        <w:t xml:space="preserve">RM4.082 </w:t>
      </w:r>
      <w:r w:rsidRPr="00C2366B">
        <w:rPr>
          <w:rFonts w:ascii="Century Gothic" w:hAnsi="Century Gothic"/>
          <w:sz w:val="20"/>
        </w:rPr>
        <w:t>million recorded in the preceding financial quarter.</w:t>
      </w:r>
      <w:r w:rsidR="00B20A6A" w:rsidRPr="00C2366B">
        <w:rPr>
          <w:rFonts w:ascii="Century Gothic" w:hAnsi="Century Gothic"/>
          <w:sz w:val="20"/>
        </w:rPr>
        <w:t xml:space="preserve"> The reduction in revenue is mainly due to the completion of a major project in June 2015.</w:t>
      </w:r>
    </w:p>
    <w:p w:rsidR="00CF4134" w:rsidRPr="00A3419B" w:rsidRDefault="00CF4134" w:rsidP="00CF4134">
      <w:pPr>
        <w:pStyle w:val="BodyText"/>
        <w:ind w:left="720"/>
        <w:rPr>
          <w:rFonts w:ascii="Century Gothic" w:hAnsi="Century Gothic"/>
          <w:sz w:val="20"/>
          <w:highlight w:val="yellow"/>
        </w:rPr>
      </w:pPr>
    </w:p>
    <w:p w:rsidR="00CF4134" w:rsidRPr="009620D0" w:rsidRDefault="00CF4134" w:rsidP="00CF4134">
      <w:pPr>
        <w:pStyle w:val="BodyText"/>
        <w:ind w:left="720"/>
        <w:rPr>
          <w:rFonts w:ascii="Century Gothic" w:hAnsi="Century Gothic"/>
          <w:sz w:val="20"/>
        </w:rPr>
      </w:pPr>
      <w:r w:rsidRPr="00714432">
        <w:rPr>
          <w:rFonts w:ascii="Century Gothic" w:hAnsi="Century Gothic"/>
          <w:sz w:val="20"/>
        </w:rPr>
        <w:t xml:space="preserve">The Group recorded a </w:t>
      </w:r>
      <w:r w:rsidR="0096050D" w:rsidRPr="00714432">
        <w:rPr>
          <w:rFonts w:ascii="Century Gothic" w:hAnsi="Century Gothic"/>
          <w:sz w:val="20"/>
        </w:rPr>
        <w:t>loss</w:t>
      </w:r>
      <w:r w:rsidRPr="00714432">
        <w:rPr>
          <w:rFonts w:ascii="Century Gothic" w:hAnsi="Century Gothic"/>
          <w:sz w:val="20"/>
        </w:rPr>
        <w:t xml:space="preserve"> before tax of </w:t>
      </w:r>
      <w:r w:rsidR="00D11405" w:rsidRPr="00714432">
        <w:rPr>
          <w:rFonts w:ascii="Century Gothic" w:hAnsi="Century Gothic"/>
          <w:sz w:val="20"/>
        </w:rPr>
        <w:t>RM0.</w:t>
      </w:r>
      <w:r w:rsidR="00A5213F">
        <w:rPr>
          <w:rFonts w:ascii="Century Gothic" w:hAnsi="Century Gothic"/>
          <w:sz w:val="20"/>
        </w:rPr>
        <w:t>379</w:t>
      </w:r>
      <w:r w:rsidR="00D11405" w:rsidRPr="00714432">
        <w:rPr>
          <w:rFonts w:ascii="Century Gothic" w:hAnsi="Century Gothic"/>
          <w:sz w:val="20"/>
        </w:rPr>
        <w:t xml:space="preserve"> </w:t>
      </w:r>
      <w:r w:rsidRPr="00714432">
        <w:rPr>
          <w:rFonts w:ascii="Century Gothic" w:hAnsi="Century Gothic"/>
          <w:sz w:val="20"/>
        </w:rPr>
        <w:t xml:space="preserve">million as compared to </w:t>
      </w:r>
      <w:r w:rsidR="00756E08" w:rsidRPr="00714432">
        <w:rPr>
          <w:rFonts w:ascii="Century Gothic" w:hAnsi="Century Gothic"/>
          <w:sz w:val="20"/>
        </w:rPr>
        <w:t xml:space="preserve">loss before tax of </w:t>
      </w:r>
      <w:r w:rsidRPr="00714432">
        <w:rPr>
          <w:rFonts w:ascii="Century Gothic" w:hAnsi="Century Gothic"/>
          <w:sz w:val="20"/>
        </w:rPr>
        <w:t>RM1</w:t>
      </w:r>
      <w:r w:rsidR="00D11405" w:rsidRPr="00714432">
        <w:rPr>
          <w:rFonts w:ascii="Century Gothic" w:hAnsi="Century Gothic"/>
          <w:sz w:val="20"/>
        </w:rPr>
        <w:t>2</w:t>
      </w:r>
      <w:r w:rsidRPr="00714432">
        <w:rPr>
          <w:rFonts w:ascii="Century Gothic" w:hAnsi="Century Gothic"/>
          <w:sz w:val="20"/>
        </w:rPr>
        <w:t>.</w:t>
      </w:r>
      <w:r w:rsidR="00D11405" w:rsidRPr="00714432">
        <w:rPr>
          <w:rFonts w:ascii="Century Gothic" w:hAnsi="Century Gothic"/>
          <w:sz w:val="20"/>
        </w:rPr>
        <w:t>900</w:t>
      </w:r>
      <w:r w:rsidRPr="00714432">
        <w:rPr>
          <w:rFonts w:ascii="Century Gothic" w:hAnsi="Century Gothic"/>
          <w:sz w:val="20"/>
        </w:rPr>
        <w:t xml:space="preserve"> million in </w:t>
      </w:r>
      <w:r w:rsidR="001D3815" w:rsidRPr="00714432">
        <w:rPr>
          <w:rFonts w:ascii="Century Gothic" w:hAnsi="Century Gothic"/>
          <w:sz w:val="20"/>
        </w:rPr>
        <w:t>the preceding financial quarter</w:t>
      </w:r>
      <w:r w:rsidRPr="00714432">
        <w:rPr>
          <w:rFonts w:ascii="Century Gothic" w:hAnsi="Century Gothic"/>
          <w:sz w:val="20"/>
        </w:rPr>
        <w:t xml:space="preserve">. The </w:t>
      </w:r>
      <w:r w:rsidR="00756E08" w:rsidRPr="00714432">
        <w:rPr>
          <w:rFonts w:ascii="Century Gothic" w:hAnsi="Century Gothic"/>
          <w:sz w:val="20"/>
        </w:rPr>
        <w:t>lower</w:t>
      </w:r>
      <w:r w:rsidRPr="00714432">
        <w:rPr>
          <w:rFonts w:ascii="Century Gothic" w:hAnsi="Century Gothic"/>
          <w:sz w:val="20"/>
        </w:rPr>
        <w:t xml:space="preserve"> loss</w:t>
      </w:r>
      <w:r w:rsidR="005C2A59" w:rsidRPr="00714432">
        <w:rPr>
          <w:rFonts w:ascii="Century Gothic" w:hAnsi="Century Gothic"/>
          <w:sz w:val="20"/>
        </w:rPr>
        <w:t xml:space="preserve"> was attributed </w:t>
      </w:r>
      <w:r w:rsidR="0068267A" w:rsidRPr="00714432">
        <w:rPr>
          <w:rFonts w:ascii="Century Gothic" w:hAnsi="Century Gothic"/>
          <w:sz w:val="20"/>
        </w:rPr>
        <w:t xml:space="preserve">to </w:t>
      </w:r>
      <w:r w:rsidR="00756E08" w:rsidRPr="00714432">
        <w:rPr>
          <w:rFonts w:ascii="Century Gothic" w:hAnsi="Century Gothic"/>
          <w:sz w:val="20"/>
        </w:rPr>
        <w:t>lower</w:t>
      </w:r>
      <w:r w:rsidRPr="00714432">
        <w:rPr>
          <w:rFonts w:ascii="Century Gothic" w:hAnsi="Century Gothic"/>
          <w:sz w:val="20"/>
        </w:rPr>
        <w:t xml:space="preserve"> operating expenses and direct cost. </w:t>
      </w:r>
      <w:r w:rsidR="0068267A" w:rsidRPr="00714432">
        <w:rPr>
          <w:rFonts w:ascii="Century Gothic" w:hAnsi="Century Gothic"/>
          <w:sz w:val="20"/>
        </w:rPr>
        <w:t>Furthermore, there was an impairment of development expenditure, receivables, property plant &amp; equipment and investment amounting to RM15.077</w:t>
      </w:r>
      <w:r w:rsidR="001D3815" w:rsidRPr="00714432">
        <w:rPr>
          <w:rFonts w:ascii="Century Gothic" w:hAnsi="Century Gothic"/>
          <w:sz w:val="20"/>
        </w:rPr>
        <w:t xml:space="preserve"> million</w:t>
      </w:r>
      <w:r w:rsidR="0068267A" w:rsidRPr="00714432">
        <w:rPr>
          <w:rFonts w:ascii="Century Gothic" w:hAnsi="Century Gothic"/>
          <w:sz w:val="20"/>
        </w:rPr>
        <w:t xml:space="preserve"> in </w:t>
      </w:r>
      <w:r w:rsidR="001D3815" w:rsidRPr="00714432">
        <w:rPr>
          <w:rFonts w:ascii="Century Gothic" w:hAnsi="Century Gothic"/>
          <w:sz w:val="20"/>
        </w:rPr>
        <w:t>the preceding financial quarter</w:t>
      </w:r>
      <w:r w:rsidR="0068267A" w:rsidRPr="00714432">
        <w:rPr>
          <w:rFonts w:ascii="Century Gothic" w:hAnsi="Century Gothic"/>
          <w:sz w:val="20"/>
        </w:rPr>
        <w:t>.</w:t>
      </w:r>
    </w:p>
    <w:p w:rsidR="00336AC7" w:rsidRDefault="00336AC7" w:rsidP="00FA349E">
      <w:pPr>
        <w:pStyle w:val="BodyText"/>
        <w:ind w:left="720"/>
        <w:rPr>
          <w:rFonts w:ascii="Century Gothic" w:hAnsi="Century Gothic"/>
          <w:sz w:val="20"/>
        </w:rPr>
      </w:pPr>
    </w:p>
    <w:p w:rsidR="001D3815" w:rsidRDefault="001D3815" w:rsidP="00FA349E">
      <w:pPr>
        <w:pStyle w:val="BodyText"/>
        <w:ind w:left="720"/>
        <w:rPr>
          <w:rFonts w:ascii="Century Gothic" w:hAnsi="Century Gothic"/>
          <w:sz w:val="20"/>
        </w:rPr>
      </w:pPr>
    </w:p>
    <w:p w:rsidR="001D3815" w:rsidRDefault="001D3815" w:rsidP="00FA349E">
      <w:pPr>
        <w:pStyle w:val="BodyText"/>
        <w:ind w:left="720"/>
        <w:rPr>
          <w:rFonts w:ascii="Century Gothic" w:hAnsi="Century Gothic"/>
          <w:sz w:val="20"/>
        </w:rPr>
      </w:pPr>
    </w:p>
    <w:p w:rsidR="001D3815" w:rsidRDefault="001D3815" w:rsidP="00FA349E">
      <w:pPr>
        <w:pStyle w:val="BodyText"/>
        <w:ind w:left="720"/>
        <w:rPr>
          <w:rFonts w:ascii="Century Gothic" w:hAnsi="Century Gothic"/>
          <w:sz w:val="20"/>
        </w:rPr>
      </w:pPr>
    </w:p>
    <w:p w:rsidR="00A3419B" w:rsidRDefault="00A3419B" w:rsidP="00FA349E">
      <w:pPr>
        <w:pStyle w:val="BodyText"/>
        <w:ind w:left="720"/>
        <w:rPr>
          <w:rFonts w:ascii="Century Gothic" w:hAnsi="Century Gothic"/>
          <w:sz w:val="20"/>
        </w:rPr>
      </w:pPr>
    </w:p>
    <w:p w:rsidR="00A3419B" w:rsidRDefault="00A3419B" w:rsidP="00FA349E">
      <w:pPr>
        <w:pStyle w:val="BodyText"/>
        <w:ind w:left="720"/>
        <w:rPr>
          <w:rFonts w:ascii="Century Gothic" w:hAnsi="Century Gothic"/>
          <w:sz w:val="20"/>
        </w:rPr>
      </w:pPr>
    </w:p>
    <w:p w:rsidR="001D3815" w:rsidRDefault="001D3815" w:rsidP="00FA349E">
      <w:pPr>
        <w:pStyle w:val="BodyText"/>
        <w:ind w:left="720"/>
        <w:rPr>
          <w:rFonts w:ascii="Century Gothic" w:hAnsi="Century Gothic"/>
          <w:sz w:val="20"/>
        </w:rPr>
      </w:pPr>
    </w:p>
    <w:p w:rsidR="001D3815" w:rsidRDefault="001D3815" w:rsidP="00FA349E">
      <w:pPr>
        <w:pStyle w:val="BodyText"/>
        <w:ind w:left="720"/>
        <w:rPr>
          <w:rFonts w:ascii="Century Gothic" w:hAnsi="Century Gothic"/>
          <w:sz w:val="20"/>
        </w:rPr>
      </w:pPr>
    </w:p>
    <w:p w:rsidR="001D3815" w:rsidRDefault="001D3815" w:rsidP="00FA349E">
      <w:pPr>
        <w:pStyle w:val="BodyText"/>
        <w:ind w:left="720"/>
        <w:rPr>
          <w:rFonts w:ascii="Century Gothic" w:hAnsi="Century Gothic"/>
          <w:sz w:val="20"/>
        </w:rPr>
      </w:pPr>
    </w:p>
    <w:p w:rsidR="001D3815" w:rsidRDefault="001D3815" w:rsidP="00FA349E">
      <w:pPr>
        <w:pStyle w:val="BodyText"/>
        <w:ind w:left="720"/>
        <w:rPr>
          <w:rFonts w:ascii="Century Gothic" w:hAnsi="Century Gothic"/>
          <w:sz w:val="20"/>
        </w:rPr>
      </w:pPr>
    </w:p>
    <w:p w:rsidR="001D3815" w:rsidRPr="009620D0" w:rsidRDefault="001D3815" w:rsidP="001D3815">
      <w:pPr>
        <w:ind w:left="720" w:hanging="720"/>
        <w:jc w:val="both"/>
        <w:rPr>
          <w:rFonts w:ascii="Century Gothic" w:hAnsi="Century Gothic"/>
          <w:b/>
        </w:rPr>
      </w:pPr>
      <w:r w:rsidRPr="009620D0">
        <w:rPr>
          <w:rFonts w:ascii="Century Gothic" w:hAnsi="Century Gothic"/>
          <w:b/>
        </w:rPr>
        <w:lastRenderedPageBreak/>
        <w:t>B</w:t>
      </w:r>
      <w:r w:rsidRPr="009620D0">
        <w:rPr>
          <w:rFonts w:ascii="Century Gothic" w:hAnsi="Century Gothic"/>
          <w:b/>
        </w:rPr>
        <w:tab/>
        <w:t>EXPLANATORY NOTES PURSUANT TO APPENDIX 9B OF THE ACE MARKET LISTING REQUIREMENTS OF BURSA SECURITIES (CONT’D)</w:t>
      </w:r>
    </w:p>
    <w:p w:rsidR="001D3815" w:rsidRDefault="001D3815" w:rsidP="00FA349E">
      <w:pPr>
        <w:pStyle w:val="BodyText"/>
        <w:ind w:left="720"/>
        <w:rPr>
          <w:rFonts w:ascii="Century Gothic" w:hAnsi="Century Gothic"/>
          <w:sz w:val="20"/>
        </w:rPr>
      </w:pPr>
    </w:p>
    <w:p w:rsidR="007A4704" w:rsidRPr="00E6722E" w:rsidRDefault="009212A5" w:rsidP="007A4704">
      <w:pPr>
        <w:pStyle w:val="BodyText"/>
        <w:rPr>
          <w:rFonts w:ascii="Century Gothic" w:hAnsi="Century Gothic"/>
          <w:b/>
          <w:sz w:val="20"/>
        </w:rPr>
      </w:pPr>
      <w:r w:rsidRPr="00E6722E">
        <w:rPr>
          <w:rFonts w:ascii="Century Gothic" w:hAnsi="Century Gothic"/>
          <w:b/>
          <w:sz w:val="20"/>
        </w:rPr>
        <w:t>B3</w:t>
      </w:r>
      <w:r w:rsidRPr="00E6722E">
        <w:rPr>
          <w:rFonts w:ascii="Century Gothic" w:hAnsi="Century Gothic"/>
          <w:b/>
          <w:sz w:val="20"/>
        </w:rPr>
        <w:tab/>
        <w:t xml:space="preserve">Business Prospects </w:t>
      </w:r>
    </w:p>
    <w:p w:rsidR="007A4704" w:rsidRPr="00E6722E" w:rsidRDefault="007A4704" w:rsidP="007A4704">
      <w:pPr>
        <w:pStyle w:val="BodyText"/>
        <w:rPr>
          <w:rFonts w:ascii="Century Gothic" w:hAnsi="Century Gothic"/>
          <w:b/>
          <w:sz w:val="10"/>
          <w:szCs w:val="10"/>
        </w:rPr>
      </w:pPr>
    </w:p>
    <w:p w:rsidR="001D3815" w:rsidRPr="00E6722E" w:rsidRDefault="001D3815" w:rsidP="007A4704">
      <w:pPr>
        <w:pStyle w:val="BodyText"/>
        <w:ind w:left="720"/>
        <w:rPr>
          <w:rFonts w:ascii="Century Gothic" w:hAnsi="Century Gothic"/>
          <w:sz w:val="20"/>
        </w:rPr>
      </w:pPr>
      <w:r w:rsidRPr="00E6722E">
        <w:rPr>
          <w:rFonts w:ascii="Century Gothic" w:hAnsi="Century Gothic"/>
          <w:sz w:val="20"/>
        </w:rPr>
        <w:t>A major project was completed during the financial period ended 30 June 2015</w:t>
      </w:r>
      <w:r w:rsidR="00E6722E" w:rsidRPr="00E6722E">
        <w:rPr>
          <w:rFonts w:ascii="Century Gothic" w:hAnsi="Century Gothic"/>
          <w:sz w:val="20"/>
        </w:rPr>
        <w:t>.</w:t>
      </w:r>
      <w:r w:rsidRPr="00E6722E">
        <w:rPr>
          <w:rFonts w:ascii="Century Gothic" w:hAnsi="Century Gothic"/>
          <w:sz w:val="20"/>
        </w:rPr>
        <w:t xml:space="preserve"> </w:t>
      </w:r>
    </w:p>
    <w:p w:rsidR="00E6722E" w:rsidRPr="00E6722E" w:rsidRDefault="00E6722E" w:rsidP="007A4704">
      <w:pPr>
        <w:pStyle w:val="BodyText"/>
        <w:ind w:left="720"/>
        <w:rPr>
          <w:rFonts w:ascii="Century Gothic" w:hAnsi="Century Gothic"/>
          <w:sz w:val="20"/>
        </w:rPr>
      </w:pPr>
    </w:p>
    <w:p w:rsidR="001D3815" w:rsidRPr="00E6722E" w:rsidRDefault="001D3815" w:rsidP="007A4704">
      <w:pPr>
        <w:pStyle w:val="BodyText"/>
        <w:ind w:left="720"/>
        <w:rPr>
          <w:rFonts w:ascii="Century Gothic" w:hAnsi="Century Gothic"/>
          <w:sz w:val="20"/>
        </w:rPr>
      </w:pPr>
      <w:r w:rsidRPr="00E6722E">
        <w:rPr>
          <w:rFonts w:ascii="Century Gothic" w:hAnsi="Century Gothic"/>
          <w:sz w:val="20"/>
        </w:rPr>
        <w:t xml:space="preserve">The classification of the Company as a GN3 Company has significantly </w:t>
      </w:r>
      <w:r w:rsidR="00E6722E" w:rsidRPr="00E6722E">
        <w:rPr>
          <w:rFonts w:ascii="Century Gothic" w:hAnsi="Century Gothic"/>
          <w:sz w:val="20"/>
        </w:rPr>
        <w:t xml:space="preserve">affected the Group’s ability to </w:t>
      </w:r>
      <w:r w:rsidRPr="00E6722E">
        <w:rPr>
          <w:rFonts w:ascii="Century Gothic" w:hAnsi="Century Gothic"/>
          <w:sz w:val="20"/>
        </w:rPr>
        <w:t>secure new projects.</w:t>
      </w:r>
    </w:p>
    <w:p w:rsidR="009E3A70" w:rsidRPr="00E6722E" w:rsidRDefault="009E3A70" w:rsidP="007A4704">
      <w:pPr>
        <w:pStyle w:val="BodyText"/>
        <w:ind w:left="720"/>
        <w:rPr>
          <w:rFonts w:ascii="Century Gothic" w:hAnsi="Century Gothic"/>
          <w:sz w:val="20"/>
        </w:rPr>
      </w:pPr>
    </w:p>
    <w:p w:rsidR="001D3815" w:rsidRPr="00E6722E" w:rsidRDefault="001D3815" w:rsidP="007A4704">
      <w:pPr>
        <w:pStyle w:val="BodyText"/>
        <w:ind w:left="720"/>
        <w:rPr>
          <w:rFonts w:ascii="Century Gothic" w:hAnsi="Century Gothic"/>
          <w:sz w:val="20"/>
        </w:rPr>
      </w:pPr>
      <w:r w:rsidRPr="00E6722E">
        <w:rPr>
          <w:rFonts w:ascii="Century Gothic" w:hAnsi="Century Gothic"/>
          <w:sz w:val="20"/>
        </w:rPr>
        <w:t>In view of this, the Group has taken steps to reduce cost and streamline the operations of the Group.</w:t>
      </w:r>
    </w:p>
    <w:p w:rsidR="001D3815" w:rsidRPr="00E6722E" w:rsidRDefault="001D3815" w:rsidP="007A4704">
      <w:pPr>
        <w:pStyle w:val="BodyText"/>
        <w:ind w:left="720"/>
        <w:rPr>
          <w:rFonts w:ascii="Century Gothic" w:hAnsi="Century Gothic"/>
          <w:sz w:val="20"/>
        </w:rPr>
      </w:pPr>
    </w:p>
    <w:p w:rsidR="001D3815" w:rsidRPr="009620D0" w:rsidRDefault="001D3815" w:rsidP="007A4704">
      <w:pPr>
        <w:pStyle w:val="BodyText"/>
        <w:ind w:left="720"/>
        <w:rPr>
          <w:rFonts w:ascii="Century Gothic" w:hAnsi="Century Gothic"/>
          <w:sz w:val="20"/>
        </w:rPr>
      </w:pPr>
      <w:r w:rsidRPr="00E6722E">
        <w:rPr>
          <w:rFonts w:ascii="Century Gothic" w:hAnsi="Century Gothic"/>
          <w:sz w:val="20"/>
        </w:rPr>
        <w:t>The Company is also in the midst of exploring various opportunities as part of its plan to regularize the business operations and financial position of the Group.</w:t>
      </w:r>
    </w:p>
    <w:p w:rsidR="007A4704" w:rsidRPr="009620D0" w:rsidRDefault="007A4704" w:rsidP="007A4704">
      <w:pPr>
        <w:pStyle w:val="BodyText"/>
        <w:rPr>
          <w:rFonts w:ascii="Century Gothic" w:hAnsi="Century Gothic"/>
          <w:b/>
          <w:sz w:val="20"/>
        </w:rPr>
      </w:pPr>
    </w:p>
    <w:p w:rsidR="007A4704" w:rsidRPr="009620D0" w:rsidRDefault="009212A5" w:rsidP="007A4704">
      <w:pPr>
        <w:pStyle w:val="BodyText"/>
        <w:rPr>
          <w:rFonts w:ascii="Century Gothic" w:hAnsi="Century Gothic"/>
          <w:b/>
          <w:sz w:val="20"/>
        </w:rPr>
      </w:pPr>
      <w:r w:rsidRPr="009620D0">
        <w:rPr>
          <w:rFonts w:ascii="Century Gothic" w:hAnsi="Century Gothic"/>
          <w:b/>
          <w:sz w:val="20"/>
        </w:rPr>
        <w:t>B4</w:t>
      </w:r>
      <w:r w:rsidRPr="009620D0">
        <w:rPr>
          <w:rFonts w:ascii="Century Gothic" w:hAnsi="Century Gothic"/>
          <w:b/>
          <w:sz w:val="20"/>
        </w:rPr>
        <w:tab/>
        <w:t>Variance of Actual Loss from Forecast Loss</w:t>
      </w:r>
    </w:p>
    <w:p w:rsidR="007A4704" w:rsidRPr="009620D0" w:rsidRDefault="007A4704" w:rsidP="007A4704">
      <w:pPr>
        <w:pStyle w:val="BodyText"/>
        <w:rPr>
          <w:rFonts w:ascii="Century Gothic" w:hAnsi="Century Gothic"/>
          <w:b/>
          <w:sz w:val="10"/>
          <w:szCs w:val="10"/>
        </w:rPr>
      </w:pPr>
    </w:p>
    <w:p w:rsidR="002F05C6" w:rsidRDefault="002F05C6" w:rsidP="002F05C6">
      <w:pPr>
        <w:ind w:left="720"/>
        <w:jc w:val="both"/>
        <w:rPr>
          <w:rFonts w:ascii="Century Gothic" w:hAnsi="Century Gothic"/>
        </w:rPr>
      </w:pPr>
      <w:r>
        <w:rPr>
          <w:rFonts w:ascii="Century Gothic" w:hAnsi="Century Gothic"/>
        </w:rPr>
        <w:t>The Group has not issued any profit forecast or profit estimate for the current financial quarter under review</w:t>
      </w:r>
      <w:r w:rsidR="00A3419B">
        <w:rPr>
          <w:rFonts w:ascii="Century Gothic" w:hAnsi="Century Gothic"/>
        </w:rPr>
        <w:t>.</w:t>
      </w:r>
    </w:p>
    <w:p w:rsidR="002F05C6" w:rsidRDefault="002F05C6" w:rsidP="002F05C6">
      <w:pPr>
        <w:ind w:left="720"/>
        <w:jc w:val="both"/>
        <w:rPr>
          <w:rFonts w:ascii="Century Gothic" w:hAnsi="Century Gothic"/>
        </w:rPr>
      </w:pPr>
    </w:p>
    <w:p w:rsidR="002F05C6" w:rsidRDefault="002F05C6" w:rsidP="002F05C6">
      <w:pPr>
        <w:pStyle w:val="BodyText"/>
        <w:rPr>
          <w:rFonts w:ascii="Century Gothic" w:hAnsi="Century Gothic"/>
          <w:b/>
          <w:sz w:val="20"/>
        </w:rPr>
      </w:pPr>
      <w:r w:rsidRPr="009620D0">
        <w:rPr>
          <w:rFonts w:ascii="Century Gothic" w:hAnsi="Century Gothic"/>
          <w:b/>
          <w:sz w:val="20"/>
        </w:rPr>
        <w:t>B</w:t>
      </w:r>
      <w:r>
        <w:rPr>
          <w:rFonts w:ascii="Century Gothic" w:hAnsi="Century Gothic"/>
          <w:b/>
          <w:sz w:val="20"/>
        </w:rPr>
        <w:t>5</w:t>
      </w:r>
      <w:r w:rsidRPr="009620D0">
        <w:rPr>
          <w:rFonts w:ascii="Century Gothic" w:hAnsi="Century Gothic"/>
          <w:b/>
          <w:sz w:val="20"/>
        </w:rPr>
        <w:tab/>
      </w:r>
      <w:r>
        <w:rPr>
          <w:rFonts w:ascii="Century Gothic" w:hAnsi="Century Gothic"/>
          <w:b/>
          <w:sz w:val="20"/>
        </w:rPr>
        <w:t>Taxation</w:t>
      </w:r>
    </w:p>
    <w:p w:rsidR="002F05C6" w:rsidRDefault="002F05C6" w:rsidP="002F05C6">
      <w:pPr>
        <w:pStyle w:val="BodyText"/>
        <w:rPr>
          <w:rFonts w:ascii="Century Gothic" w:hAnsi="Century Gothic"/>
          <w:b/>
          <w:sz w:val="20"/>
        </w:rPr>
      </w:pPr>
    </w:p>
    <w:p w:rsidR="00E142D4" w:rsidRPr="00A3419B" w:rsidRDefault="00A3419B" w:rsidP="002F05C6">
      <w:pPr>
        <w:pStyle w:val="BodyText"/>
        <w:rPr>
          <w:rFonts w:ascii="Century Gothic" w:hAnsi="Century Gothic"/>
          <w:sz w:val="20"/>
        </w:rPr>
      </w:pPr>
      <w:r>
        <w:rPr>
          <w:rFonts w:ascii="Century Gothic" w:hAnsi="Century Gothic"/>
          <w:b/>
          <w:sz w:val="20"/>
        </w:rPr>
        <w:tab/>
      </w:r>
      <w:r w:rsidRPr="00A3419B">
        <w:rPr>
          <w:rFonts w:ascii="Century Gothic" w:hAnsi="Century Gothic"/>
          <w:sz w:val="20"/>
        </w:rPr>
        <w:t>There is no tax charge for the current quarter since the Group has incurred losses.</w:t>
      </w:r>
    </w:p>
    <w:p w:rsidR="007A4704" w:rsidRPr="009620D0" w:rsidRDefault="007A4704">
      <w:pPr>
        <w:pStyle w:val="BodyText"/>
        <w:rPr>
          <w:rFonts w:ascii="Century Gothic" w:hAnsi="Century Gothic"/>
          <w:b/>
          <w:sz w:val="20"/>
        </w:rPr>
      </w:pPr>
    </w:p>
    <w:p w:rsidR="0068267A" w:rsidRPr="009620D0" w:rsidRDefault="0068267A" w:rsidP="0068267A">
      <w:pPr>
        <w:pStyle w:val="BodyText"/>
        <w:rPr>
          <w:rFonts w:ascii="Century Gothic" w:hAnsi="Century Gothic"/>
          <w:b/>
          <w:sz w:val="20"/>
        </w:rPr>
      </w:pPr>
      <w:r w:rsidRPr="009620D0">
        <w:rPr>
          <w:rFonts w:ascii="Century Gothic" w:hAnsi="Century Gothic"/>
          <w:b/>
          <w:sz w:val="20"/>
        </w:rPr>
        <w:t>B</w:t>
      </w:r>
      <w:r w:rsidR="00E142D4">
        <w:rPr>
          <w:rFonts w:ascii="Century Gothic" w:hAnsi="Century Gothic"/>
          <w:b/>
          <w:sz w:val="20"/>
        </w:rPr>
        <w:t>6</w:t>
      </w:r>
      <w:r w:rsidRPr="009620D0">
        <w:rPr>
          <w:rFonts w:ascii="Century Gothic" w:hAnsi="Century Gothic"/>
          <w:b/>
          <w:sz w:val="20"/>
        </w:rPr>
        <w:tab/>
        <w:t xml:space="preserve">Corporate Proposals </w:t>
      </w:r>
    </w:p>
    <w:p w:rsidR="0068267A" w:rsidRPr="009620D0" w:rsidRDefault="0068267A" w:rsidP="0068267A">
      <w:pPr>
        <w:pStyle w:val="BodyText"/>
        <w:rPr>
          <w:rFonts w:ascii="Century Gothic" w:hAnsi="Century Gothic"/>
          <w:b/>
          <w:sz w:val="16"/>
          <w:szCs w:val="16"/>
        </w:rPr>
      </w:pPr>
      <w:r w:rsidRPr="009620D0">
        <w:rPr>
          <w:rFonts w:ascii="Century Gothic" w:hAnsi="Century Gothic"/>
          <w:b/>
          <w:sz w:val="16"/>
          <w:szCs w:val="16"/>
        </w:rPr>
        <w:tab/>
      </w:r>
    </w:p>
    <w:p w:rsidR="0068267A" w:rsidRDefault="0068267A" w:rsidP="0068267A">
      <w:pPr>
        <w:ind w:left="720"/>
        <w:jc w:val="both"/>
        <w:rPr>
          <w:rFonts w:ascii="Century Gothic" w:hAnsi="Century Gothic" w:cs="Arial"/>
        </w:rPr>
      </w:pPr>
      <w:r w:rsidRPr="0095586B">
        <w:rPr>
          <w:rFonts w:ascii="Century Gothic" w:hAnsi="Century Gothic" w:cs="Arial"/>
        </w:rPr>
        <w:t xml:space="preserve">The status of </w:t>
      </w:r>
      <w:r w:rsidR="000F479D" w:rsidRPr="0095586B">
        <w:rPr>
          <w:rFonts w:ascii="Century Gothic" w:hAnsi="Century Gothic" w:cs="Arial"/>
        </w:rPr>
        <w:t>utili</w:t>
      </w:r>
      <w:r w:rsidR="000F479D">
        <w:rPr>
          <w:rFonts w:ascii="Century Gothic" w:hAnsi="Century Gothic" w:cs="Arial"/>
        </w:rPr>
        <w:t>s</w:t>
      </w:r>
      <w:r w:rsidR="000F479D" w:rsidRPr="0095586B">
        <w:rPr>
          <w:rFonts w:ascii="Century Gothic" w:hAnsi="Century Gothic" w:cs="Arial"/>
        </w:rPr>
        <w:t xml:space="preserve">ation </w:t>
      </w:r>
      <w:r w:rsidR="005C2A59">
        <w:rPr>
          <w:rFonts w:ascii="Century Gothic" w:hAnsi="Century Gothic" w:cs="Arial"/>
        </w:rPr>
        <w:t xml:space="preserve">of </w:t>
      </w:r>
      <w:r w:rsidRPr="0095586B">
        <w:rPr>
          <w:rFonts w:ascii="Century Gothic" w:hAnsi="Century Gothic" w:cs="Arial"/>
        </w:rPr>
        <w:t>proceeds from the Rights Issue and Public Issue are as follows:-</w:t>
      </w:r>
    </w:p>
    <w:p w:rsidR="0068267A" w:rsidRPr="0095586B" w:rsidRDefault="0068267A" w:rsidP="0068267A">
      <w:pPr>
        <w:ind w:left="720"/>
        <w:jc w:val="both"/>
        <w:rPr>
          <w:rFonts w:ascii="Century Gothic" w:hAnsi="Century Gothic" w:cs="Arial"/>
        </w:rPr>
      </w:pPr>
    </w:p>
    <w:tbl>
      <w:tblPr>
        <w:tblW w:w="4066" w:type="pct"/>
        <w:tblInd w:w="691" w:type="dxa"/>
        <w:tblLayout w:type="fixed"/>
        <w:tblLook w:val="0000" w:firstRow="0" w:lastRow="0" w:firstColumn="0" w:lastColumn="0" w:noHBand="0" w:noVBand="0"/>
      </w:tblPr>
      <w:tblGrid>
        <w:gridCol w:w="3268"/>
        <w:gridCol w:w="1211"/>
        <w:gridCol w:w="1584"/>
        <w:gridCol w:w="1199"/>
        <w:gridCol w:w="1228"/>
      </w:tblGrid>
      <w:tr w:rsidR="00A3419B" w:rsidRPr="0095586B" w:rsidTr="00A3419B">
        <w:trPr>
          <w:trHeight w:val="555"/>
        </w:trPr>
        <w:tc>
          <w:tcPr>
            <w:tcW w:w="1925" w:type="pct"/>
            <w:shd w:val="clear" w:color="auto" w:fill="auto"/>
          </w:tcPr>
          <w:p w:rsidR="00A3419B" w:rsidRPr="0095586B" w:rsidRDefault="00A3419B" w:rsidP="00227506">
            <w:pPr>
              <w:pStyle w:val="BodyTextIndent"/>
              <w:tabs>
                <w:tab w:val="left" w:pos="2880"/>
                <w:tab w:val="right" w:pos="8647"/>
              </w:tabs>
              <w:spacing w:before="60" w:after="60" w:line="240" w:lineRule="exact"/>
              <w:ind w:left="0" w:firstLine="14"/>
              <w:jc w:val="left"/>
              <w:rPr>
                <w:rFonts w:ascii="Century Gothic" w:hAnsi="Century Gothic" w:cs="Arial"/>
                <w:i w:val="0"/>
                <w:sz w:val="20"/>
              </w:rPr>
            </w:pPr>
          </w:p>
        </w:tc>
        <w:tc>
          <w:tcPr>
            <w:tcW w:w="713" w:type="pct"/>
            <w:shd w:val="clear" w:color="auto" w:fill="auto"/>
          </w:tcPr>
          <w:p w:rsidR="00A3419B" w:rsidRPr="0095586B" w:rsidRDefault="00A3419B" w:rsidP="00227506">
            <w:pPr>
              <w:pStyle w:val="BodyTextIndent"/>
              <w:tabs>
                <w:tab w:val="left" w:pos="2880"/>
                <w:tab w:val="right" w:pos="8647"/>
              </w:tabs>
              <w:spacing w:line="240" w:lineRule="exact"/>
              <w:ind w:left="0"/>
              <w:jc w:val="center"/>
              <w:rPr>
                <w:rFonts w:ascii="Century Gothic" w:hAnsi="Century Gothic" w:cs="Arial"/>
                <w:b/>
                <w:i w:val="0"/>
                <w:sz w:val="20"/>
                <w:u w:val="single"/>
              </w:rPr>
            </w:pPr>
            <w:r w:rsidRPr="0095586B">
              <w:rPr>
                <w:rFonts w:ascii="Century Gothic" w:hAnsi="Century Gothic" w:cs="Arial"/>
                <w:b/>
                <w:i w:val="0"/>
                <w:sz w:val="20"/>
                <w:u w:val="single"/>
              </w:rPr>
              <w:t xml:space="preserve">Proposed </w:t>
            </w:r>
            <w:r w:rsidR="000F479D" w:rsidRPr="0095586B">
              <w:rPr>
                <w:rFonts w:ascii="Century Gothic" w:hAnsi="Century Gothic" w:cs="Arial"/>
                <w:b/>
                <w:i w:val="0"/>
                <w:sz w:val="20"/>
                <w:u w:val="single"/>
              </w:rPr>
              <w:t>Utili</w:t>
            </w:r>
            <w:r w:rsidR="000F479D">
              <w:rPr>
                <w:rFonts w:ascii="Century Gothic" w:hAnsi="Century Gothic" w:cs="Arial"/>
                <w:b/>
                <w:i w:val="0"/>
                <w:sz w:val="20"/>
                <w:u w:val="single"/>
              </w:rPr>
              <w:t>s</w:t>
            </w:r>
            <w:r w:rsidR="000F479D" w:rsidRPr="0095586B">
              <w:rPr>
                <w:rFonts w:ascii="Century Gothic" w:hAnsi="Century Gothic" w:cs="Arial"/>
                <w:b/>
                <w:i w:val="0"/>
                <w:sz w:val="20"/>
                <w:u w:val="single"/>
              </w:rPr>
              <w:t>ation</w:t>
            </w:r>
          </w:p>
          <w:p w:rsidR="00A3419B" w:rsidRPr="0095586B" w:rsidRDefault="00A3419B" w:rsidP="00227506">
            <w:pPr>
              <w:pStyle w:val="BodyTextIndent"/>
              <w:tabs>
                <w:tab w:val="left" w:pos="2880"/>
                <w:tab w:val="right" w:pos="8647"/>
              </w:tabs>
              <w:spacing w:line="240" w:lineRule="exact"/>
              <w:ind w:left="0"/>
              <w:jc w:val="center"/>
              <w:rPr>
                <w:rFonts w:ascii="Century Gothic" w:hAnsi="Century Gothic" w:cs="Arial"/>
                <w:b/>
                <w:i w:val="0"/>
                <w:sz w:val="20"/>
                <w:u w:val="single"/>
              </w:rPr>
            </w:pPr>
          </w:p>
          <w:p w:rsidR="00A3419B" w:rsidRPr="0095586B" w:rsidRDefault="00A3419B" w:rsidP="00227506">
            <w:pPr>
              <w:pStyle w:val="BodyTextIndent"/>
              <w:tabs>
                <w:tab w:val="left" w:pos="2880"/>
                <w:tab w:val="right" w:pos="8647"/>
              </w:tabs>
              <w:spacing w:line="240" w:lineRule="exact"/>
              <w:ind w:left="-109" w:right="-107"/>
              <w:jc w:val="center"/>
              <w:rPr>
                <w:rFonts w:ascii="Century Gothic" w:hAnsi="Century Gothic" w:cs="Arial"/>
                <w:b/>
                <w:i w:val="0"/>
                <w:sz w:val="20"/>
              </w:rPr>
            </w:pPr>
          </w:p>
          <w:p w:rsidR="00A3419B" w:rsidRPr="0095586B" w:rsidRDefault="00A3419B" w:rsidP="00227506">
            <w:pPr>
              <w:pStyle w:val="BodyTextIndent"/>
              <w:tabs>
                <w:tab w:val="left" w:pos="2880"/>
                <w:tab w:val="right" w:pos="8647"/>
              </w:tabs>
              <w:spacing w:line="240" w:lineRule="exact"/>
              <w:ind w:left="-109" w:right="-107"/>
              <w:jc w:val="center"/>
              <w:rPr>
                <w:rFonts w:ascii="Century Gothic" w:hAnsi="Century Gothic" w:cs="Arial"/>
                <w:b/>
                <w:i w:val="0"/>
                <w:sz w:val="20"/>
              </w:rPr>
            </w:pPr>
          </w:p>
          <w:p w:rsidR="00A3419B" w:rsidRPr="0095586B" w:rsidRDefault="00A3419B" w:rsidP="00227506">
            <w:pPr>
              <w:pStyle w:val="BodyTextIndent"/>
              <w:tabs>
                <w:tab w:val="left" w:pos="2880"/>
                <w:tab w:val="right" w:pos="8647"/>
              </w:tabs>
              <w:spacing w:line="240" w:lineRule="exact"/>
              <w:ind w:left="-109" w:right="-107"/>
              <w:jc w:val="center"/>
              <w:rPr>
                <w:rFonts w:ascii="Century Gothic" w:hAnsi="Century Gothic" w:cs="Arial"/>
                <w:b/>
                <w:i w:val="0"/>
                <w:sz w:val="20"/>
              </w:rPr>
            </w:pPr>
          </w:p>
          <w:p w:rsidR="00A3419B" w:rsidRPr="0095586B" w:rsidRDefault="00A3419B" w:rsidP="00227506">
            <w:pPr>
              <w:pStyle w:val="BodyTextIndent"/>
              <w:tabs>
                <w:tab w:val="left" w:pos="2880"/>
                <w:tab w:val="right" w:pos="8647"/>
              </w:tabs>
              <w:spacing w:line="240" w:lineRule="exact"/>
              <w:ind w:left="-109" w:right="-107"/>
              <w:jc w:val="center"/>
              <w:rPr>
                <w:rFonts w:ascii="Century Gothic" w:hAnsi="Century Gothic" w:cs="Arial"/>
                <w:b/>
                <w:i w:val="0"/>
                <w:sz w:val="20"/>
              </w:rPr>
            </w:pPr>
            <w:r w:rsidRPr="0095586B">
              <w:rPr>
                <w:rFonts w:ascii="Century Gothic" w:hAnsi="Century Gothic" w:cs="Arial"/>
                <w:b/>
                <w:i w:val="0"/>
                <w:sz w:val="20"/>
              </w:rPr>
              <w:t>(RM’000)</w:t>
            </w:r>
          </w:p>
        </w:tc>
        <w:tc>
          <w:tcPr>
            <w:tcW w:w="933" w:type="pct"/>
          </w:tcPr>
          <w:p w:rsidR="00A3419B" w:rsidRPr="0095586B" w:rsidRDefault="00A3419B" w:rsidP="00227506">
            <w:pPr>
              <w:pStyle w:val="BodyTextIndent"/>
              <w:tabs>
                <w:tab w:val="left" w:pos="2880"/>
                <w:tab w:val="right" w:pos="8647"/>
              </w:tabs>
              <w:spacing w:line="240" w:lineRule="exact"/>
              <w:ind w:left="-108" w:right="-108"/>
              <w:jc w:val="center"/>
              <w:rPr>
                <w:rFonts w:ascii="Century Gothic" w:hAnsi="Century Gothic" w:cs="Arial"/>
                <w:b/>
                <w:i w:val="0"/>
                <w:sz w:val="20"/>
                <w:u w:val="single"/>
              </w:rPr>
            </w:pPr>
            <w:r w:rsidRPr="0095586B">
              <w:rPr>
                <w:rFonts w:ascii="Century Gothic" w:hAnsi="Century Gothic" w:cs="Arial"/>
                <w:b/>
                <w:i w:val="0"/>
                <w:sz w:val="20"/>
                <w:u w:val="single"/>
              </w:rPr>
              <w:t xml:space="preserve">Proposed Variation For </w:t>
            </w:r>
            <w:r w:rsidR="000F479D" w:rsidRPr="0095586B">
              <w:rPr>
                <w:rFonts w:ascii="Century Gothic" w:hAnsi="Century Gothic" w:cs="Arial"/>
                <w:b/>
                <w:i w:val="0"/>
                <w:sz w:val="20"/>
                <w:u w:val="single"/>
              </w:rPr>
              <w:t>Utili</w:t>
            </w:r>
            <w:r w:rsidR="000F479D">
              <w:rPr>
                <w:rFonts w:ascii="Century Gothic" w:hAnsi="Century Gothic" w:cs="Arial"/>
                <w:b/>
                <w:i w:val="0"/>
                <w:sz w:val="20"/>
                <w:u w:val="single"/>
              </w:rPr>
              <w:t>s</w:t>
            </w:r>
            <w:r w:rsidR="000F479D" w:rsidRPr="0095586B">
              <w:rPr>
                <w:rFonts w:ascii="Century Gothic" w:hAnsi="Century Gothic" w:cs="Arial"/>
                <w:b/>
                <w:i w:val="0"/>
                <w:sz w:val="20"/>
                <w:u w:val="single"/>
              </w:rPr>
              <w:t xml:space="preserve">ation </w:t>
            </w:r>
            <w:r w:rsidRPr="0095586B">
              <w:rPr>
                <w:rFonts w:ascii="Century Gothic" w:hAnsi="Century Gothic" w:cs="Arial"/>
                <w:b/>
                <w:i w:val="0"/>
                <w:sz w:val="20"/>
                <w:u w:val="single"/>
              </w:rPr>
              <w:t>As Per SC’s Letter Dated 5.4.2010</w:t>
            </w:r>
          </w:p>
          <w:p w:rsidR="00A3419B" w:rsidRPr="0095586B" w:rsidRDefault="00A3419B" w:rsidP="00227506">
            <w:pPr>
              <w:pStyle w:val="BodyTextIndent"/>
              <w:tabs>
                <w:tab w:val="left" w:pos="2880"/>
                <w:tab w:val="right" w:pos="8647"/>
              </w:tabs>
              <w:spacing w:line="240" w:lineRule="exact"/>
              <w:ind w:left="-108" w:right="-108"/>
              <w:jc w:val="center"/>
              <w:rPr>
                <w:rFonts w:ascii="Century Gothic" w:hAnsi="Century Gothic" w:cs="Arial"/>
                <w:b/>
                <w:i w:val="0"/>
                <w:sz w:val="20"/>
              </w:rPr>
            </w:pPr>
          </w:p>
          <w:p w:rsidR="00A3419B" w:rsidRPr="0095586B" w:rsidRDefault="00A3419B" w:rsidP="00227506">
            <w:pPr>
              <w:pStyle w:val="BodyTextIndent"/>
              <w:tabs>
                <w:tab w:val="left" w:pos="2880"/>
                <w:tab w:val="right" w:pos="8647"/>
              </w:tabs>
              <w:spacing w:line="240" w:lineRule="exact"/>
              <w:ind w:left="-108" w:right="-108"/>
              <w:jc w:val="center"/>
              <w:rPr>
                <w:rFonts w:ascii="Century Gothic" w:hAnsi="Century Gothic" w:cs="Arial"/>
                <w:b/>
                <w:i w:val="0"/>
                <w:sz w:val="20"/>
                <w:u w:val="single"/>
              </w:rPr>
            </w:pPr>
            <w:r w:rsidRPr="0095586B">
              <w:rPr>
                <w:rFonts w:ascii="Century Gothic" w:hAnsi="Century Gothic" w:cs="Arial"/>
                <w:b/>
                <w:i w:val="0"/>
                <w:sz w:val="20"/>
              </w:rPr>
              <w:t>(RM’000)</w:t>
            </w:r>
          </w:p>
        </w:tc>
        <w:tc>
          <w:tcPr>
            <w:tcW w:w="706" w:type="pct"/>
          </w:tcPr>
          <w:p w:rsidR="00A3419B" w:rsidRPr="0095586B" w:rsidRDefault="00A3419B" w:rsidP="00227506">
            <w:pPr>
              <w:pStyle w:val="BodyTextIndent"/>
              <w:tabs>
                <w:tab w:val="left" w:pos="2880"/>
                <w:tab w:val="right" w:pos="8647"/>
              </w:tabs>
              <w:spacing w:line="240" w:lineRule="exact"/>
              <w:ind w:left="-108" w:right="-108"/>
              <w:jc w:val="center"/>
              <w:rPr>
                <w:rFonts w:ascii="Century Gothic" w:hAnsi="Century Gothic" w:cs="Arial"/>
                <w:b/>
                <w:i w:val="0"/>
                <w:sz w:val="20"/>
                <w:u w:val="single"/>
              </w:rPr>
            </w:pPr>
            <w:r w:rsidRPr="0095586B">
              <w:rPr>
                <w:rFonts w:ascii="Century Gothic" w:hAnsi="Century Gothic" w:cs="Arial"/>
                <w:b/>
                <w:i w:val="0"/>
                <w:sz w:val="20"/>
                <w:u w:val="single"/>
              </w:rPr>
              <w:t xml:space="preserve">Actual </w:t>
            </w:r>
            <w:r w:rsidR="000F479D" w:rsidRPr="0095586B">
              <w:rPr>
                <w:rFonts w:ascii="Century Gothic" w:hAnsi="Century Gothic" w:cs="Arial"/>
                <w:b/>
                <w:i w:val="0"/>
                <w:sz w:val="20"/>
                <w:u w:val="single"/>
              </w:rPr>
              <w:t>Utili</w:t>
            </w:r>
            <w:r w:rsidR="000F479D">
              <w:rPr>
                <w:rFonts w:ascii="Century Gothic" w:hAnsi="Century Gothic" w:cs="Arial"/>
                <w:b/>
                <w:i w:val="0"/>
                <w:sz w:val="20"/>
                <w:u w:val="single"/>
              </w:rPr>
              <w:t>s</w:t>
            </w:r>
            <w:r w:rsidR="000F479D" w:rsidRPr="0095586B">
              <w:rPr>
                <w:rFonts w:ascii="Century Gothic" w:hAnsi="Century Gothic" w:cs="Arial"/>
                <w:b/>
                <w:i w:val="0"/>
                <w:sz w:val="20"/>
                <w:u w:val="single"/>
              </w:rPr>
              <w:t xml:space="preserve">ation </w:t>
            </w:r>
            <w:r w:rsidRPr="0095586B">
              <w:rPr>
                <w:rFonts w:ascii="Century Gothic" w:hAnsi="Century Gothic" w:cs="Arial"/>
                <w:b/>
                <w:i w:val="0"/>
                <w:sz w:val="20"/>
                <w:u w:val="single"/>
              </w:rPr>
              <w:t>as at 3</w:t>
            </w:r>
            <w:r>
              <w:rPr>
                <w:rFonts w:ascii="Century Gothic" w:hAnsi="Century Gothic" w:cs="Arial"/>
                <w:b/>
                <w:i w:val="0"/>
                <w:sz w:val="20"/>
                <w:u w:val="single"/>
              </w:rPr>
              <w:t>0</w:t>
            </w:r>
            <w:r w:rsidRPr="0095586B">
              <w:rPr>
                <w:rFonts w:ascii="Century Gothic" w:hAnsi="Century Gothic" w:cs="Arial"/>
                <w:b/>
                <w:i w:val="0"/>
                <w:sz w:val="20"/>
                <w:u w:val="single"/>
              </w:rPr>
              <w:t>.</w:t>
            </w:r>
            <w:r>
              <w:rPr>
                <w:rFonts w:ascii="Century Gothic" w:hAnsi="Century Gothic" w:cs="Arial"/>
                <w:b/>
                <w:i w:val="0"/>
                <w:sz w:val="20"/>
                <w:u w:val="single"/>
              </w:rPr>
              <w:t>09</w:t>
            </w:r>
            <w:r w:rsidRPr="0095586B">
              <w:rPr>
                <w:rFonts w:ascii="Century Gothic" w:hAnsi="Century Gothic" w:cs="Arial"/>
                <w:b/>
                <w:i w:val="0"/>
                <w:sz w:val="20"/>
                <w:u w:val="single"/>
              </w:rPr>
              <w:t>.20</w:t>
            </w:r>
            <w:r>
              <w:rPr>
                <w:rFonts w:ascii="Century Gothic" w:hAnsi="Century Gothic" w:cs="Arial"/>
                <w:b/>
                <w:i w:val="0"/>
                <w:sz w:val="20"/>
                <w:u w:val="single"/>
              </w:rPr>
              <w:t>15</w:t>
            </w:r>
          </w:p>
          <w:p w:rsidR="00A3419B" w:rsidRPr="0095586B" w:rsidRDefault="00A3419B" w:rsidP="00227506">
            <w:pPr>
              <w:pStyle w:val="BodyTextIndent"/>
              <w:tabs>
                <w:tab w:val="left" w:pos="2880"/>
                <w:tab w:val="right" w:pos="8647"/>
              </w:tabs>
              <w:spacing w:line="240" w:lineRule="exact"/>
              <w:ind w:left="-108" w:right="-108"/>
              <w:jc w:val="center"/>
              <w:rPr>
                <w:rFonts w:ascii="Century Gothic" w:hAnsi="Century Gothic" w:cs="Arial"/>
                <w:b/>
                <w:i w:val="0"/>
                <w:sz w:val="20"/>
                <w:u w:val="single"/>
              </w:rPr>
            </w:pPr>
          </w:p>
          <w:p w:rsidR="00A3419B" w:rsidRPr="0095586B" w:rsidRDefault="00A3419B" w:rsidP="00227506">
            <w:pPr>
              <w:pStyle w:val="BodyTextIndent"/>
              <w:tabs>
                <w:tab w:val="left" w:pos="2880"/>
                <w:tab w:val="right" w:pos="8647"/>
              </w:tabs>
              <w:spacing w:line="240" w:lineRule="exact"/>
              <w:ind w:left="-108" w:right="-108"/>
              <w:jc w:val="center"/>
              <w:rPr>
                <w:rFonts w:ascii="Century Gothic" w:hAnsi="Century Gothic" w:cs="Arial"/>
                <w:b/>
                <w:i w:val="0"/>
                <w:sz w:val="20"/>
                <w:u w:val="single"/>
              </w:rPr>
            </w:pPr>
          </w:p>
          <w:p w:rsidR="00A3419B" w:rsidRPr="0095586B" w:rsidRDefault="00A3419B" w:rsidP="00227506">
            <w:pPr>
              <w:pStyle w:val="BodyTextIndent"/>
              <w:tabs>
                <w:tab w:val="left" w:pos="2880"/>
                <w:tab w:val="right" w:pos="8647"/>
              </w:tabs>
              <w:spacing w:line="240" w:lineRule="exact"/>
              <w:ind w:left="-108" w:right="-108"/>
              <w:jc w:val="center"/>
              <w:rPr>
                <w:rFonts w:ascii="Century Gothic" w:hAnsi="Century Gothic" w:cs="Arial"/>
                <w:b/>
                <w:i w:val="0"/>
                <w:sz w:val="20"/>
                <w:u w:val="single"/>
              </w:rPr>
            </w:pPr>
            <w:r w:rsidRPr="0095586B">
              <w:rPr>
                <w:rFonts w:ascii="Century Gothic" w:hAnsi="Century Gothic" w:cs="Arial"/>
                <w:b/>
                <w:i w:val="0"/>
                <w:sz w:val="20"/>
                <w:u w:val="single"/>
              </w:rPr>
              <w:t>(</w:t>
            </w:r>
            <w:r w:rsidRPr="0095586B">
              <w:rPr>
                <w:rFonts w:ascii="Century Gothic" w:hAnsi="Century Gothic" w:cs="Arial"/>
                <w:b/>
                <w:i w:val="0"/>
                <w:sz w:val="20"/>
              </w:rPr>
              <w:t>RM’000</w:t>
            </w:r>
            <w:r w:rsidRPr="0095586B">
              <w:rPr>
                <w:rFonts w:ascii="Century Gothic" w:hAnsi="Century Gothic" w:cs="Arial"/>
                <w:b/>
                <w:i w:val="0"/>
                <w:sz w:val="20"/>
                <w:u w:val="single"/>
              </w:rPr>
              <w:t>)</w:t>
            </w:r>
          </w:p>
        </w:tc>
        <w:tc>
          <w:tcPr>
            <w:tcW w:w="723" w:type="pct"/>
          </w:tcPr>
          <w:p w:rsidR="00A3419B" w:rsidRPr="0095586B" w:rsidRDefault="00A3419B" w:rsidP="00227506">
            <w:pPr>
              <w:pStyle w:val="BodyTextIndent"/>
              <w:tabs>
                <w:tab w:val="left" w:pos="2880"/>
                <w:tab w:val="right" w:pos="8647"/>
              </w:tabs>
              <w:spacing w:line="240" w:lineRule="exact"/>
              <w:ind w:left="0"/>
              <w:jc w:val="center"/>
              <w:rPr>
                <w:rFonts w:ascii="Century Gothic" w:hAnsi="Century Gothic" w:cs="Arial"/>
                <w:b/>
                <w:i w:val="0"/>
                <w:sz w:val="20"/>
                <w:u w:val="single"/>
              </w:rPr>
            </w:pPr>
            <w:r w:rsidRPr="0095586B">
              <w:rPr>
                <w:rFonts w:ascii="Century Gothic" w:hAnsi="Century Gothic" w:cs="Arial"/>
                <w:b/>
                <w:i w:val="0"/>
                <w:sz w:val="20"/>
                <w:u w:val="single"/>
              </w:rPr>
              <w:t>Variance</w:t>
            </w:r>
          </w:p>
          <w:p w:rsidR="00A3419B" w:rsidRPr="0095586B" w:rsidRDefault="00A3419B" w:rsidP="00227506">
            <w:pPr>
              <w:pStyle w:val="BodyTextIndent"/>
              <w:tabs>
                <w:tab w:val="left" w:pos="2880"/>
                <w:tab w:val="right" w:pos="8647"/>
              </w:tabs>
              <w:spacing w:line="240" w:lineRule="exact"/>
              <w:ind w:left="0"/>
              <w:jc w:val="center"/>
              <w:rPr>
                <w:rFonts w:ascii="Century Gothic" w:hAnsi="Century Gothic" w:cs="Arial"/>
                <w:b/>
                <w:i w:val="0"/>
                <w:sz w:val="20"/>
                <w:u w:val="single"/>
              </w:rPr>
            </w:pPr>
          </w:p>
          <w:p w:rsidR="00A3419B" w:rsidRPr="0095586B" w:rsidRDefault="00A3419B" w:rsidP="00227506">
            <w:pPr>
              <w:pStyle w:val="BodyTextIndent"/>
              <w:tabs>
                <w:tab w:val="left" w:pos="2880"/>
                <w:tab w:val="right" w:pos="8647"/>
              </w:tabs>
              <w:spacing w:line="240" w:lineRule="exact"/>
              <w:ind w:left="0"/>
              <w:jc w:val="center"/>
              <w:rPr>
                <w:rFonts w:ascii="Century Gothic" w:hAnsi="Century Gothic" w:cs="Arial"/>
                <w:b/>
                <w:i w:val="0"/>
                <w:sz w:val="20"/>
                <w:u w:val="single"/>
              </w:rPr>
            </w:pPr>
          </w:p>
          <w:p w:rsidR="00A3419B" w:rsidRPr="0095586B" w:rsidRDefault="00A3419B" w:rsidP="00227506">
            <w:pPr>
              <w:pStyle w:val="BodyTextIndent"/>
              <w:tabs>
                <w:tab w:val="left" w:pos="2880"/>
                <w:tab w:val="right" w:pos="8647"/>
              </w:tabs>
              <w:spacing w:line="240" w:lineRule="exact"/>
              <w:ind w:left="0"/>
              <w:jc w:val="center"/>
              <w:rPr>
                <w:rFonts w:ascii="Century Gothic" w:hAnsi="Century Gothic" w:cs="Arial"/>
                <w:b/>
                <w:i w:val="0"/>
                <w:sz w:val="20"/>
                <w:u w:val="single"/>
              </w:rPr>
            </w:pPr>
          </w:p>
          <w:p w:rsidR="00A3419B" w:rsidRPr="0095586B" w:rsidRDefault="00A3419B" w:rsidP="00227506">
            <w:pPr>
              <w:pStyle w:val="BodyTextIndent"/>
              <w:tabs>
                <w:tab w:val="left" w:pos="2880"/>
                <w:tab w:val="right" w:pos="8647"/>
              </w:tabs>
              <w:spacing w:line="240" w:lineRule="exact"/>
              <w:ind w:left="0"/>
              <w:jc w:val="center"/>
              <w:rPr>
                <w:rFonts w:ascii="Century Gothic" w:hAnsi="Century Gothic" w:cs="Arial"/>
                <w:b/>
                <w:i w:val="0"/>
                <w:sz w:val="20"/>
                <w:u w:val="single"/>
              </w:rPr>
            </w:pPr>
          </w:p>
          <w:p w:rsidR="00A3419B" w:rsidRPr="0095586B" w:rsidRDefault="00A3419B" w:rsidP="00227506">
            <w:pPr>
              <w:pStyle w:val="BodyTextIndent"/>
              <w:tabs>
                <w:tab w:val="left" w:pos="2880"/>
                <w:tab w:val="right" w:pos="8647"/>
              </w:tabs>
              <w:spacing w:line="240" w:lineRule="exact"/>
              <w:ind w:left="0"/>
              <w:jc w:val="center"/>
              <w:rPr>
                <w:rFonts w:ascii="Century Gothic" w:hAnsi="Century Gothic" w:cs="Arial"/>
                <w:b/>
                <w:i w:val="0"/>
                <w:sz w:val="20"/>
                <w:u w:val="single"/>
              </w:rPr>
            </w:pPr>
          </w:p>
          <w:p w:rsidR="00A3419B" w:rsidRPr="0095586B" w:rsidRDefault="00A3419B" w:rsidP="00227506">
            <w:pPr>
              <w:pStyle w:val="BodyTextIndent"/>
              <w:tabs>
                <w:tab w:val="left" w:pos="2880"/>
                <w:tab w:val="right" w:pos="8647"/>
              </w:tabs>
              <w:spacing w:line="240" w:lineRule="exact"/>
              <w:ind w:left="0"/>
              <w:jc w:val="center"/>
              <w:rPr>
                <w:rFonts w:ascii="Century Gothic" w:hAnsi="Century Gothic" w:cs="Arial"/>
                <w:b/>
                <w:i w:val="0"/>
                <w:sz w:val="20"/>
              </w:rPr>
            </w:pPr>
            <w:r w:rsidRPr="0095586B">
              <w:rPr>
                <w:rFonts w:ascii="Century Gothic" w:hAnsi="Century Gothic" w:cs="Arial"/>
                <w:b/>
                <w:i w:val="0"/>
                <w:sz w:val="20"/>
                <w:u w:val="single"/>
              </w:rPr>
              <w:t>(</w:t>
            </w:r>
            <w:r w:rsidRPr="0095586B">
              <w:rPr>
                <w:rFonts w:ascii="Century Gothic" w:hAnsi="Century Gothic" w:cs="Arial"/>
                <w:b/>
                <w:i w:val="0"/>
                <w:sz w:val="20"/>
              </w:rPr>
              <w:t>RM’000</w:t>
            </w:r>
            <w:r w:rsidRPr="0095586B">
              <w:rPr>
                <w:rFonts w:ascii="Century Gothic" w:hAnsi="Century Gothic" w:cs="Arial"/>
                <w:b/>
                <w:i w:val="0"/>
                <w:sz w:val="20"/>
                <w:u w:val="single"/>
              </w:rPr>
              <w:t>)</w:t>
            </w:r>
          </w:p>
        </w:tc>
      </w:tr>
      <w:tr w:rsidR="00A3419B" w:rsidRPr="0095586B" w:rsidTr="00A3419B">
        <w:trPr>
          <w:trHeight w:val="406"/>
        </w:trPr>
        <w:tc>
          <w:tcPr>
            <w:tcW w:w="1925" w:type="pct"/>
            <w:shd w:val="clear" w:color="auto" w:fill="auto"/>
          </w:tcPr>
          <w:p w:rsidR="00A3419B" w:rsidRPr="0095586B" w:rsidRDefault="00A3419B" w:rsidP="00227506">
            <w:pPr>
              <w:pStyle w:val="BodyTextIndent"/>
              <w:tabs>
                <w:tab w:val="left" w:pos="2880"/>
                <w:tab w:val="right" w:pos="8647"/>
              </w:tabs>
              <w:spacing w:before="60" w:after="60" w:line="240" w:lineRule="exact"/>
              <w:ind w:left="0" w:firstLine="14"/>
              <w:jc w:val="left"/>
              <w:rPr>
                <w:rFonts w:ascii="Century Gothic" w:hAnsi="Century Gothic" w:cs="Arial"/>
                <w:i w:val="0"/>
                <w:sz w:val="20"/>
              </w:rPr>
            </w:pPr>
          </w:p>
          <w:p w:rsidR="00A3419B" w:rsidRPr="0095586B" w:rsidRDefault="00A3419B" w:rsidP="00227506">
            <w:pPr>
              <w:pStyle w:val="BodyTextIndent"/>
              <w:tabs>
                <w:tab w:val="left" w:pos="2880"/>
                <w:tab w:val="right" w:pos="8647"/>
              </w:tabs>
              <w:spacing w:before="60" w:after="60" w:line="240" w:lineRule="exact"/>
              <w:ind w:left="0" w:firstLine="14"/>
              <w:jc w:val="left"/>
              <w:rPr>
                <w:rFonts w:ascii="Century Gothic" w:hAnsi="Century Gothic" w:cs="Arial"/>
                <w:i w:val="0"/>
                <w:sz w:val="20"/>
              </w:rPr>
            </w:pPr>
            <w:r w:rsidRPr="0095586B">
              <w:rPr>
                <w:rFonts w:ascii="Century Gothic" w:hAnsi="Century Gothic" w:cs="Arial"/>
                <w:i w:val="0"/>
                <w:sz w:val="20"/>
              </w:rPr>
              <w:t>Development expenditure</w:t>
            </w:r>
          </w:p>
        </w:tc>
        <w:tc>
          <w:tcPr>
            <w:tcW w:w="713" w:type="pct"/>
            <w:shd w:val="clear" w:color="auto" w:fill="auto"/>
            <w:vAlign w:val="center"/>
          </w:tcPr>
          <w:p w:rsidR="00A3419B" w:rsidRPr="0095586B" w:rsidRDefault="00A3419B" w:rsidP="00227506">
            <w:pPr>
              <w:pStyle w:val="BodyTextIndent"/>
              <w:tabs>
                <w:tab w:val="left" w:pos="2880"/>
                <w:tab w:val="right" w:pos="8647"/>
              </w:tabs>
              <w:wordWrap w:val="0"/>
              <w:spacing w:before="60" w:after="60" w:line="240" w:lineRule="exact"/>
              <w:ind w:left="0" w:right="253" w:hanging="17"/>
              <w:jc w:val="center"/>
              <w:rPr>
                <w:rFonts w:ascii="Century Gothic" w:hAnsi="Century Gothic" w:cs="Arial"/>
                <w:i w:val="0"/>
                <w:sz w:val="20"/>
              </w:rPr>
            </w:pPr>
          </w:p>
          <w:p w:rsidR="00A3419B" w:rsidRPr="0095586B" w:rsidRDefault="00A3419B" w:rsidP="00227506">
            <w:pPr>
              <w:pStyle w:val="BodyTextIndent"/>
              <w:tabs>
                <w:tab w:val="left" w:pos="2880"/>
                <w:tab w:val="right" w:pos="8647"/>
              </w:tabs>
              <w:wordWrap w:val="0"/>
              <w:spacing w:before="60" w:after="60" w:line="240" w:lineRule="exact"/>
              <w:ind w:left="0" w:right="253" w:hanging="17"/>
              <w:jc w:val="center"/>
              <w:rPr>
                <w:rFonts w:ascii="Century Gothic" w:hAnsi="Century Gothic" w:cs="Arial"/>
                <w:i w:val="0"/>
                <w:sz w:val="20"/>
              </w:rPr>
            </w:pPr>
            <w:r w:rsidRPr="0095586B">
              <w:rPr>
                <w:rFonts w:ascii="Century Gothic" w:hAnsi="Century Gothic" w:cs="Arial"/>
                <w:i w:val="0"/>
                <w:sz w:val="20"/>
              </w:rPr>
              <w:t>13,000</w:t>
            </w:r>
          </w:p>
        </w:tc>
        <w:tc>
          <w:tcPr>
            <w:tcW w:w="933" w:type="pct"/>
            <w:vAlign w:val="center"/>
          </w:tcPr>
          <w:p w:rsidR="00A3419B" w:rsidRPr="0095586B" w:rsidRDefault="00A3419B" w:rsidP="00227506">
            <w:pPr>
              <w:pStyle w:val="BodyTextIndent"/>
              <w:tabs>
                <w:tab w:val="left" w:pos="2880"/>
                <w:tab w:val="right" w:pos="8647"/>
              </w:tabs>
              <w:spacing w:before="60" w:after="60" w:line="240" w:lineRule="exact"/>
              <w:ind w:left="0" w:right="153" w:hanging="9"/>
              <w:jc w:val="center"/>
              <w:rPr>
                <w:rFonts w:ascii="Century Gothic" w:hAnsi="Century Gothic" w:cs="Arial"/>
                <w:i w:val="0"/>
                <w:sz w:val="20"/>
              </w:rPr>
            </w:pPr>
          </w:p>
          <w:p w:rsidR="00A3419B" w:rsidRPr="0095586B" w:rsidRDefault="00A3419B" w:rsidP="00227506">
            <w:pPr>
              <w:pStyle w:val="BodyTextIndent"/>
              <w:tabs>
                <w:tab w:val="left" w:pos="2880"/>
                <w:tab w:val="right" w:pos="8647"/>
              </w:tabs>
              <w:spacing w:before="60" w:after="60" w:line="240" w:lineRule="exact"/>
              <w:ind w:left="0" w:right="153" w:hanging="9"/>
              <w:jc w:val="center"/>
              <w:rPr>
                <w:rFonts w:ascii="Century Gothic" w:hAnsi="Century Gothic" w:cs="Arial"/>
                <w:i w:val="0"/>
                <w:sz w:val="20"/>
              </w:rPr>
            </w:pPr>
            <w:r w:rsidRPr="0095586B">
              <w:rPr>
                <w:rFonts w:ascii="Century Gothic" w:hAnsi="Century Gothic" w:cs="Arial"/>
                <w:i w:val="0"/>
                <w:sz w:val="20"/>
              </w:rPr>
              <w:t>8,000</w:t>
            </w:r>
          </w:p>
        </w:tc>
        <w:tc>
          <w:tcPr>
            <w:tcW w:w="706" w:type="pct"/>
            <w:vAlign w:val="center"/>
          </w:tcPr>
          <w:p w:rsidR="00A3419B" w:rsidRPr="0095586B" w:rsidRDefault="00A3419B" w:rsidP="00227506">
            <w:pPr>
              <w:pStyle w:val="BodyTextIndent"/>
              <w:tabs>
                <w:tab w:val="left" w:pos="2880"/>
                <w:tab w:val="right" w:pos="8647"/>
              </w:tabs>
              <w:spacing w:before="60" w:after="60" w:line="240" w:lineRule="exact"/>
              <w:ind w:left="0" w:right="153" w:hanging="9"/>
              <w:jc w:val="center"/>
              <w:rPr>
                <w:rFonts w:ascii="Century Gothic" w:hAnsi="Century Gothic" w:cs="Arial"/>
                <w:i w:val="0"/>
                <w:sz w:val="20"/>
              </w:rPr>
            </w:pPr>
          </w:p>
          <w:p w:rsidR="00A3419B" w:rsidRPr="0095586B" w:rsidRDefault="00A3419B" w:rsidP="00227506">
            <w:pPr>
              <w:pStyle w:val="BodyTextIndent"/>
              <w:tabs>
                <w:tab w:val="left" w:pos="2880"/>
                <w:tab w:val="right" w:pos="8647"/>
              </w:tabs>
              <w:spacing w:before="60" w:after="60" w:line="240" w:lineRule="exact"/>
              <w:ind w:left="0" w:right="153" w:hanging="9"/>
              <w:jc w:val="center"/>
              <w:rPr>
                <w:rFonts w:ascii="Century Gothic" w:hAnsi="Century Gothic" w:cs="Arial"/>
                <w:i w:val="0"/>
                <w:sz w:val="20"/>
              </w:rPr>
            </w:pPr>
            <w:r w:rsidRPr="0095586B">
              <w:rPr>
                <w:rFonts w:ascii="Century Gothic" w:hAnsi="Century Gothic" w:cs="Arial"/>
                <w:i w:val="0"/>
                <w:sz w:val="20"/>
              </w:rPr>
              <w:t>7,609</w:t>
            </w:r>
          </w:p>
        </w:tc>
        <w:tc>
          <w:tcPr>
            <w:tcW w:w="723" w:type="pct"/>
            <w:vAlign w:val="center"/>
          </w:tcPr>
          <w:p w:rsidR="00A3419B" w:rsidRPr="0095586B" w:rsidRDefault="00A3419B" w:rsidP="00227506">
            <w:pPr>
              <w:pStyle w:val="BodyTextIndent"/>
              <w:tabs>
                <w:tab w:val="left" w:pos="2880"/>
                <w:tab w:val="right" w:pos="8647"/>
              </w:tabs>
              <w:spacing w:before="60" w:after="60" w:line="240" w:lineRule="exact"/>
              <w:ind w:left="-12" w:right="242" w:firstLine="3"/>
              <w:jc w:val="center"/>
              <w:rPr>
                <w:rFonts w:ascii="Century Gothic" w:hAnsi="Century Gothic" w:cs="Arial"/>
                <w:i w:val="0"/>
                <w:sz w:val="20"/>
              </w:rPr>
            </w:pPr>
          </w:p>
          <w:p w:rsidR="00A3419B" w:rsidRPr="0095586B" w:rsidRDefault="00A3419B" w:rsidP="00A3419B">
            <w:pPr>
              <w:pStyle w:val="BodyTextIndent"/>
              <w:tabs>
                <w:tab w:val="left" w:pos="2880"/>
                <w:tab w:val="right" w:pos="8647"/>
              </w:tabs>
              <w:spacing w:before="60" w:after="60" w:line="240" w:lineRule="exact"/>
              <w:ind w:left="-12" w:right="242" w:firstLine="3"/>
              <w:jc w:val="center"/>
              <w:rPr>
                <w:rFonts w:ascii="Century Gothic" w:hAnsi="Century Gothic" w:cs="Arial"/>
                <w:i w:val="0"/>
                <w:sz w:val="20"/>
              </w:rPr>
            </w:pPr>
            <w:r w:rsidRPr="0095586B">
              <w:rPr>
                <w:rFonts w:ascii="Century Gothic" w:hAnsi="Century Gothic" w:cs="Arial"/>
                <w:i w:val="0"/>
                <w:sz w:val="20"/>
              </w:rPr>
              <w:t>3</w:t>
            </w:r>
            <w:r>
              <w:rPr>
                <w:rFonts w:ascii="Century Gothic" w:hAnsi="Century Gothic" w:cs="Arial"/>
                <w:i w:val="0"/>
                <w:sz w:val="20"/>
              </w:rPr>
              <w:t>91</w:t>
            </w:r>
            <w:r w:rsidRPr="0095586B">
              <w:rPr>
                <w:rFonts w:ascii="Century Gothic" w:hAnsi="Century Gothic" w:cs="Arial"/>
                <w:i w:val="0"/>
                <w:sz w:val="20"/>
              </w:rPr>
              <w:t>*</w:t>
            </w:r>
          </w:p>
        </w:tc>
      </w:tr>
      <w:tr w:rsidR="00A3419B" w:rsidRPr="0095586B" w:rsidTr="00A3419B">
        <w:trPr>
          <w:trHeight w:val="406"/>
        </w:trPr>
        <w:tc>
          <w:tcPr>
            <w:tcW w:w="1925" w:type="pct"/>
            <w:shd w:val="clear" w:color="auto" w:fill="auto"/>
          </w:tcPr>
          <w:p w:rsidR="00A3419B" w:rsidRPr="0095586B" w:rsidRDefault="00A3419B" w:rsidP="00227506">
            <w:pPr>
              <w:pStyle w:val="BodyTextIndent"/>
              <w:tabs>
                <w:tab w:val="left" w:pos="2880"/>
                <w:tab w:val="right" w:pos="8647"/>
              </w:tabs>
              <w:spacing w:before="60" w:after="60" w:line="240" w:lineRule="exact"/>
              <w:ind w:left="0" w:firstLine="14"/>
              <w:jc w:val="left"/>
              <w:rPr>
                <w:rFonts w:ascii="Century Gothic" w:hAnsi="Century Gothic" w:cs="Arial"/>
                <w:i w:val="0"/>
                <w:sz w:val="20"/>
              </w:rPr>
            </w:pPr>
            <w:r w:rsidRPr="0095586B">
              <w:rPr>
                <w:rFonts w:ascii="Century Gothic" w:hAnsi="Century Gothic" w:cs="Arial"/>
                <w:i w:val="0"/>
                <w:sz w:val="20"/>
              </w:rPr>
              <w:t>Overseas project implementation</w:t>
            </w:r>
          </w:p>
        </w:tc>
        <w:tc>
          <w:tcPr>
            <w:tcW w:w="713" w:type="pct"/>
            <w:shd w:val="clear" w:color="auto" w:fill="auto"/>
            <w:vAlign w:val="center"/>
          </w:tcPr>
          <w:p w:rsidR="00A3419B" w:rsidRPr="0095586B" w:rsidRDefault="00A3419B" w:rsidP="00227506">
            <w:pPr>
              <w:pStyle w:val="BodyTextIndent"/>
              <w:tabs>
                <w:tab w:val="left" w:pos="2880"/>
                <w:tab w:val="right" w:pos="8647"/>
              </w:tabs>
              <w:wordWrap w:val="0"/>
              <w:spacing w:before="60" w:after="60" w:line="240" w:lineRule="exact"/>
              <w:ind w:left="0" w:right="253" w:hanging="17"/>
              <w:jc w:val="center"/>
              <w:rPr>
                <w:rFonts w:ascii="Century Gothic" w:hAnsi="Century Gothic" w:cs="Arial"/>
                <w:i w:val="0"/>
                <w:sz w:val="20"/>
              </w:rPr>
            </w:pPr>
            <w:r w:rsidRPr="0095586B">
              <w:rPr>
                <w:rFonts w:ascii="Century Gothic" w:hAnsi="Century Gothic" w:cs="Arial"/>
                <w:i w:val="0"/>
                <w:sz w:val="20"/>
              </w:rPr>
              <w:t>3,500</w:t>
            </w:r>
          </w:p>
        </w:tc>
        <w:tc>
          <w:tcPr>
            <w:tcW w:w="933" w:type="pct"/>
            <w:vAlign w:val="center"/>
          </w:tcPr>
          <w:p w:rsidR="00A3419B" w:rsidRPr="0095586B" w:rsidRDefault="00A3419B" w:rsidP="00227506">
            <w:pPr>
              <w:pStyle w:val="BodyTextIndent"/>
              <w:tabs>
                <w:tab w:val="left" w:pos="2880"/>
                <w:tab w:val="right" w:pos="8647"/>
              </w:tabs>
              <w:spacing w:before="60" w:after="60" w:line="240" w:lineRule="exact"/>
              <w:ind w:left="0" w:right="153"/>
              <w:jc w:val="center"/>
              <w:rPr>
                <w:rFonts w:ascii="Century Gothic" w:hAnsi="Century Gothic" w:cs="Arial"/>
                <w:i w:val="0"/>
                <w:sz w:val="20"/>
              </w:rPr>
            </w:pPr>
            <w:r w:rsidRPr="0095586B">
              <w:rPr>
                <w:rFonts w:ascii="Century Gothic" w:hAnsi="Century Gothic" w:cs="Arial"/>
                <w:i w:val="0"/>
                <w:sz w:val="20"/>
              </w:rPr>
              <w:t>3,500</w:t>
            </w:r>
          </w:p>
        </w:tc>
        <w:tc>
          <w:tcPr>
            <w:tcW w:w="706" w:type="pct"/>
            <w:vAlign w:val="center"/>
          </w:tcPr>
          <w:p w:rsidR="00A3419B" w:rsidRPr="0095586B" w:rsidRDefault="00A3419B" w:rsidP="00227506">
            <w:pPr>
              <w:pStyle w:val="BodyTextIndent"/>
              <w:tabs>
                <w:tab w:val="left" w:pos="2880"/>
                <w:tab w:val="right" w:pos="8647"/>
              </w:tabs>
              <w:spacing w:before="60" w:after="60" w:line="240" w:lineRule="exact"/>
              <w:ind w:left="0" w:right="153" w:hanging="9"/>
              <w:jc w:val="center"/>
              <w:rPr>
                <w:rFonts w:ascii="Century Gothic" w:hAnsi="Century Gothic" w:cs="Arial"/>
                <w:i w:val="0"/>
                <w:sz w:val="20"/>
              </w:rPr>
            </w:pPr>
            <w:r w:rsidRPr="0095586B">
              <w:rPr>
                <w:rFonts w:ascii="Century Gothic" w:hAnsi="Century Gothic" w:cs="Arial"/>
                <w:i w:val="0"/>
                <w:sz w:val="20"/>
              </w:rPr>
              <w:t>3,500</w:t>
            </w:r>
          </w:p>
        </w:tc>
        <w:tc>
          <w:tcPr>
            <w:tcW w:w="723" w:type="pct"/>
            <w:vAlign w:val="center"/>
          </w:tcPr>
          <w:p w:rsidR="00A3419B" w:rsidRPr="0095586B" w:rsidRDefault="00A3419B" w:rsidP="00227506">
            <w:pPr>
              <w:pStyle w:val="BodyTextIndent"/>
              <w:tabs>
                <w:tab w:val="left" w:pos="2880"/>
                <w:tab w:val="right" w:pos="8647"/>
              </w:tabs>
              <w:spacing w:before="60" w:after="60" w:line="240" w:lineRule="exact"/>
              <w:ind w:left="-12" w:right="242" w:firstLine="3"/>
              <w:jc w:val="center"/>
              <w:rPr>
                <w:rFonts w:ascii="Century Gothic" w:hAnsi="Century Gothic" w:cs="Arial"/>
                <w:i w:val="0"/>
                <w:sz w:val="20"/>
              </w:rPr>
            </w:pPr>
            <w:r w:rsidRPr="0095586B">
              <w:rPr>
                <w:rFonts w:ascii="Century Gothic" w:hAnsi="Century Gothic" w:cs="Arial"/>
                <w:i w:val="0"/>
                <w:sz w:val="20"/>
              </w:rPr>
              <w:t>-</w:t>
            </w:r>
          </w:p>
        </w:tc>
      </w:tr>
      <w:tr w:rsidR="00A3419B" w:rsidRPr="0095586B" w:rsidTr="00A3419B">
        <w:trPr>
          <w:trHeight w:val="406"/>
        </w:trPr>
        <w:tc>
          <w:tcPr>
            <w:tcW w:w="1925" w:type="pct"/>
            <w:shd w:val="clear" w:color="auto" w:fill="auto"/>
          </w:tcPr>
          <w:p w:rsidR="00A3419B" w:rsidRPr="0095586B" w:rsidRDefault="00A3419B" w:rsidP="00227506">
            <w:pPr>
              <w:pStyle w:val="BodyTextIndent"/>
              <w:tabs>
                <w:tab w:val="left" w:pos="2880"/>
                <w:tab w:val="right" w:pos="8647"/>
              </w:tabs>
              <w:spacing w:before="60" w:after="60" w:line="240" w:lineRule="exact"/>
              <w:ind w:left="0" w:firstLine="14"/>
              <w:jc w:val="left"/>
              <w:rPr>
                <w:rFonts w:ascii="Century Gothic" w:hAnsi="Century Gothic" w:cs="Arial"/>
                <w:i w:val="0"/>
                <w:sz w:val="20"/>
              </w:rPr>
            </w:pPr>
            <w:r w:rsidRPr="0095586B">
              <w:rPr>
                <w:rFonts w:ascii="Century Gothic" w:hAnsi="Century Gothic" w:cs="Arial"/>
                <w:i w:val="0"/>
                <w:sz w:val="20"/>
              </w:rPr>
              <w:t>Overseas expansion</w:t>
            </w:r>
          </w:p>
        </w:tc>
        <w:tc>
          <w:tcPr>
            <w:tcW w:w="713" w:type="pct"/>
            <w:shd w:val="clear" w:color="auto" w:fill="auto"/>
            <w:vAlign w:val="center"/>
          </w:tcPr>
          <w:p w:rsidR="00A3419B" w:rsidRPr="0095586B" w:rsidRDefault="00A3419B" w:rsidP="00227506">
            <w:pPr>
              <w:pStyle w:val="BodyTextIndent"/>
              <w:tabs>
                <w:tab w:val="left" w:pos="2880"/>
                <w:tab w:val="right" w:pos="8647"/>
              </w:tabs>
              <w:wordWrap w:val="0"/>
              <w:spacing w:before="60" w:after="60" w:line="240" w:lineRule="exact"/>
              <w:ind w:left="0" w:right="253" w:hanging="17"/>
              <w:jc w:val="center"/>
              <w:rPr>
                <w:rFonts w:ascii="Century Gothic" w:hAnsi="Century Gothic" w:cs="Arial"/>
                <w:i w:val="0"/>
                <w:sz w:val="20"/>
              </w:rPr>
            </w:pPr>
            <w:r w:rsidRPr="0095586B">
              <w:rPr>
                <w:rFonts w:ascii="Century Gothic" w:hAnsi="Century Gothic" w:cs="Arial"/>
                <w:i w:val="0"/>
                <w:sz w:val="20"/>
              </w:rPr>
              <w:t>5,000</w:t>
            </w:r>
          </w:p>
        </w:tc>
        <w:tc>
          <w:tcPr>
            <w:tcW w:w="933" w:type="pct"/>
            <w:vAlign w:val="center"/>
          </w:tcPr>
          <w:p w:rsidR="00A3419B" w:rsidRPr="0095586B" w:rsidRDefault="00A3419B" w:rsidP="00227506">
            <w:pPr>
              <w:pStyle w:val="BodyTextIndent"/>
              <w:tabs>
                <w:tab w:val="left" w:pos="2880"/>
                <w:tab w:val="right" w:pos="8647"/>
              </w:tabs>
              <w:spacing w:before="60" w:after="60" w:line="240" w:lineRule="exact"/>
              <w:ind w:left="0" w:right="153" w:hanging="9"/>
              <w:jc w:val="center"/>
              <w:rPr>
                <w:rFonts w:ascii="Century Gothic" w:hAnsi="Century Gothic" w:cs="Arial"/>
                <w:i w:val="0"/>
                <w:sz w:val="20"/>
              </w:rPr>
            </w:pPr>
            <w:r w:rsidRPr="0095586B">
              <w:rPr>
                <w:rFonts w:ascii="Century Gothic" w:hAnsi="Century Gothic" w:cs="Arial"/>
                <w:i w:val="0"/>
                <w:sz w:val="20"/>
              </w:rPr>
              <w:t>5,000</w:t>
            </w:r>
          </w:p>
        </w:tc>
        <w:tc>
          <w:tcPr>
            <w:tcW w:w="706" w:type="pct"/>
            <w:vAlign w:val="center"/>
          </w:tcPr>
          <w:p w:rsidR="00A3419B" w:rsidRPr="0095586B" w:rsidRDefault="00A3419B" w:rsidP="00227506">
            <w:pPr>
              <w:pStyle w:val="BodyTextIndent"/>
              <w:tabs>
                <w:tab w:val="left" w:pos="2880"/>
                <w:tab w:val="right" w:pos="8647"/>
              </w:tabs>
              <w:spacing w:before="60" w:after="60" w:line="240" w:lineRule="exact"/>
              <w:ind w:left="0" w:right="153" w:hanging="9"/>
              <w:jc w:val="center"/>
              <w:rPr>
                <w:rFonts w:ascii="Century Gothic" w:hAnsi="Century Gothic" w:cs="Arial"/>
                <w:i w:val="0"/>
                <w:sz w:val="20"/>
              </w:rPr>
            </w:pPr>
            <w:r w:rsidRPr="0095586B">
              <w:rPr>
                <w:rFonts w:ascii="Century Gothic" w:hAnsi="Century Gothic" w:cs="Arial"/>
                <w:i w:val="0"/>
                <w:sz w:val="20"/>
              </w:rPr>
              <w:t>5,000</w:t>
            </w:r>
          </w:p>
        </w:tc>
        <w:tc>
          <w:tcPr>
            <w:tcW w:w="723" w:type="pct"/>
            <w:vAlign w:val="center"/>
          </w:tcPr>
          <w:p w:rsidR="00A3419B" w:rsidRPr="0095586B" w:rsidRDefault="00A3419B" w:rsidP="00227506">
            <w:pPr>
              <w:pStyle w:val="BodyTextIndent"/>
              <w:tabs>
                <w:tab w:val="left" w:pos="2880"/>
                <w:tab w:val="right" w:pos="8647"/>
              </w:tabs>
              <w:spacing w:before="60" w:after="60" w:line="240" w:lineRule="exact"/>
              <w:ind w:left="-12" w:right="242" w:firstLine="3"/>
              <w:jc w:val="center"/>
              <w:rPr>
                <w:rFonts w:ascii="Century Gothic" w:hAnsi="Century Gothic" w:cs="Arial"/>
                <w:i w:val="0"/>
                <w:sz w:val="20"/>
              </w:rPr>
            </w:pPr>
            <w:r w:rsidRPr="0095586B">
              <w:rPr>
                <w:rFonts w:ascii="Century Gothic" w:hAnsi="Century Gothic" w:cs="Arial"/>
                <w:i w:val="0"/>
                <w:sz w:val="20"/>
              </w:rPr>
              <w:t>-</w:t>
            </w:r>
          </w:p>
        </w:tc>
      </w:tr>
      <w:tr w:rsidR="00A3419B" w:rsidRPr="0095586B" w:rsidTr="00A3419B">
        <w:trPr>
          <w:trHeight w:val="312"/>
        </w:trPr>
        <w:tc>
          <w:tcPr>
            <w:tcW w:w="1925" w:type="pct"/>
            <w:shd w:val="clear" w:color="auto" w:fill="auto"/>
          </w:tcPr>
          <w:p w:rsidR="00A3419B" w:rsidRPr="0095586B" w:rsidRDefault="00A3419B" w:rsidP="00227506">
            <w:pPr>
              <w:pStyle w:val="BodyTextIndent"/>
              <w:tabs>
                <w:tab w:val="left" w:pos="2880"/>
                <w:tab w:val="right" w:pos="8647"/>
              </w:tabs>
              <w:spacing w:before="60" w:after="60" w:line="240" w:lineRule="exact"/>
              <w:ind w:left="0" w:firstLine="14"/>
              <w:jc w:val="left"/>
              <w:rPr>
                <w:rFonts w:ascii="Century Gothic" w:hAnsi="Century Gothic" w:cs="Arial"/>
                <w:i w:val="0"/>
                <w:sz w:val="20"/>
              </w:rPr>
            </w:pPr>
            <w:r w:rsidRPr="0095586B">
              <w:rPr>
                <w:rFonts w:ascii="Century Gothic" w:hAnsi="Century Gothic" w:cs="Arial"/>
                <w:i w:val="0"/>
                <w:sz w:val="20"/>
              </w:rPr>
              <w:t xml:space="preserve">Working capital  </w:t>
            </w:r>
          </w:p>
        </w:tc>
        <w:tc>
          <w:tcPr>
            <w:tcW w:w="713" w:type="pct"/>
            <w:shd w:val="clear" w:color="auto" w:fill="auto"/>
            <w:vAlign w:val="center"/>
          </w:tcPr>
          <w:p w:rsidR="00A3419B" w:rsidRPr="0095586B" w:rsidRDefault="00A3419B" w:rsidP="00227506">
            <w:pPr>
              <w:pStyle w:val="BodyTextIndent"/>
              <w:tabs>
                <w:tab w:val="left" w:pos="2880"/>
                <w:tab w:val="right" w:pos="8647"/>
              </w:tabs>
              <w:spacing w:before="60" w:after="60" w:line="240" w:lineRule="exact"/>
              <w:ind w:left="0" w:right="253" w:hanging="17"/>
              <w:jc w:val="center"/>
              <w:rPr>
                <w:rFonts w:ascii="Century Gothic" w:hAnsi="Century Gothic" w:cs="Arial"/>
                <w:i w:val="0"/>
                <w:sz w:val="20"/>
              </w:rPr>
            </w:pPr>
            <w:r w:rsidRPr="0095586B">
              <w:rPr>
                <w:rFonts w:ascii="Century Gothic" w:hAnsi="Century Gothic" w:cs="Arial"/>
                <w:i w:val="0"/>
                <w:sz w:val="20"/>
              </w:rPr>
              <w:t>3,970</w:t>
            </w:r>
          </w:p>
        </w:tc>
        <w:tc>
          <w:tcPr>
            <w:tcW w:w="933" w:type="pct"/>
            <w:vAlign w:val="center"/>
          </w:tcPr>
          <w:p w:rsidR="00A3419B" w:rsidRPr="0095586B" w:rsidRDefault="00A3419B" w:rsidP="00227506">
            <w:pPr>
              <w:pStyle w:val="BodyTextIndent"/>
              <w:tabs>
                <w:tab w:val="left" w:pos="2880"/>
                <w:tab w:val="right" w:pos="8647"/>
              </w:tabs>
              <w:spacing w:before="60" w:after="60" w:line="240" w:lineRule="exact"/>
              <w:ind w:left="0" w:right="153" w:hanging="9"/>
              <w:jc w:val="center"/>
              <w:rPr>
                <w:rFonts w:ascii="Century Gothic" w:hAnsi="Century Gothic" w:cs="Arial"/>
                <w:i w:val="0"/>
                <w:sz w:val="20"/>
              </w:rPr>
            </w:pPr>
            <w:r w:rsidRPr="0095586B">
              <w:rPr>
                <w:rFonts w:ascii="Century Gothic" w:hAnsi="Century Gothic" w:cs="Arial"/>
                <w:i w:val="0"/>
                <w:sz w:val="20"/>
              </w:rPr>
              <w:t>8,970</w:t>
            </w:r>
          </w:p>
        </w:tc>
        <w:tc>
          <w:tcPr>
            <w:tcW w:w="706" w:type="pct"/>
            <w:vAlign w:val="center"/>
          </w:tcPr>
          <w:p w:rsidR="00A3419B" w:rsidRPr="0095586B" w:rsidRDefault="00A3419B" w:rsidP="005C2A59">
            <w:pPr>
              <w:pStyle w:val="BodyTextIndent"/>
              <w:tabs>
                <w:tab w:val="left" w:pos="2880"/>
                <w:tab w:val="right" w:pos="8647"/>
              </w:tabs>
              <w:spacing w:before="60" w:after="60" w:line="240" w:lineRule="exact"/>
              <w:ind w:left="0" w:right="153" w:hanging="9"/>
              <w:jc w:val="center"/>
              <w:rPr>
                <w:rFonts w:ascii="Century Gothic" w:hAnsi="Century Gothic" w:cs="Arial"/>
                <w:i w:val="0"/>
                <w:sz w:val="20"/>
              </w:rPr>
            </w:pPr>
            <w:r w:rsidRPr="0095586B">
              <w:rPr>
                <w:rFonts w:ascii="Century Gothic" w:hAnsi="Century Gothic" w:cs="Arial"/>
                <w:i w:val="0"/>
                <w:sz w:val="20"/>
              </w:rPr>
              <w:t>9,</w:t>
            </w:r>
            <w:r>
              <w:rPr>
                <w:rFonts w:ascii="Century Gothic" w:hAnsi="Century Gothic" w:cs="Arial"/>
                <w:i w:val="0"/>
                <w:sz w:val="20"/>
              </w:rPr>
              <w:t>361</w:t>
            </w:r>
          </w:p>
        </w:tc>
        <w:tc>
          <w:tcPr>
            <w:tcW w:w="723" w:type="pct"/>
            <w:vAlign w:val="center"/>
          </w:tcPr>
          <w:p w:rsidR="00A3419B" w:rsidRPr="0095586B" w:rsidRDefault="00A3419B" w:rsidP="005C2A59">
            <w:pPr>
              <w:pStyle w:val="BodyTextIndent"/>
              <w:tabs>
                <w:tab w:val="left" w:pos="2880"/>
                <w:tab w:val="right" w:pos="8647"/>
              </w:tabs>
              <w:spacing w:before="60" w:after="60" w:line="240" w:lineRule="exact"/>
              <w:ind w:left="0" w:right="242" w:hanging="9"/>
              <w:jc w:val="center"/>
              <w:rPr>
                <w:rFonts w:ascii="Century Gothic" w:hAnsi="Century Gothic" w:cs="Arial"/>
                <w:i w:val="0"/>
                <w:sz w:val="20"/>
              </w:rPr>
            </w:pPr>
            <w:r>
              <w:rPr>
                <w:rFonts w:ascii="Century Gothic" w:hAnsi="Century Gothic" w:cs="Arial"/>
                <w:i w:val="0"/>
                <w:sz w:val="20"/>
              </w:rPr>
              <w:t>(</w:t>
            </w:r>
            <w:r w:rsidRPr="0095586B">
              <w:rPr>
                <w:rFonts w:ascii="Century Gothic" w:hAnsi="Century Gothic" w:cs="Arial"/>
                <w:i w:val="0"/>
                <w:sz w:val="20"/>
              </w:rPr>
              <w:t>3</w:t>
            </w:r>
            <w:r>
              <w:rPr>
                <w:rFonts w:ascii="Century Gothic" w:hAnsi="Century Gothic" w:cs="Arial"/>
                <w:i w:val="0"/>
                <w:sz w:val="20"/>
              </w:rPr>
              <w:t>91)</w:t>
            </w:r>
            <w:r w:rsidRPr="0095586B">
              <w:rPr>
                <w:rFonts w:ascii="Century Gothic" w:hAnsi="Century Gothic" w:cs="Arial"/>
                <w:i w:val="0"/>
                <w:sz w:val="20"/>
              </w:rPr>
              <w:t>*</w:t>
            </w:r>
          </w:p>
        </w:tc>
      </w:tr>
      <w:tr w:rsidR="00A3419B" w:rsidRPr="0095586B" w:rsidTr="00A3419B">
        <w:trPr>
          <w:trHeight w:val="312"/>
        </w:trPr>
        <w:tc>
          <w:tcPr>
            <w:tcW w:w="1925" w:type="pct"/>
            <w:shd w:val="clear" w:color="auto" w:fill="auto"/>
          </w:tcPr>
          <w:p w:rsidR="00A3419B" w:rsidRPr="0095586B" w:rsidRDefault="00A3419B" w:rsidP="00227506">
            <w:pPr>
              <w:pStyle w:val="BodyTextIndent"/>
              <w:tabs>
                <w:tab w:val="left" w:pos="2880"/>
                <w:tab w:val="right" w:pos="8647"/>
              </w:tabs>
              <w:spacing w:before="60" w:after="60" w:line="240" w:lineRule="exact"/>
              <w:ind w:left="0" w:firstLine="14"/>
              <w:jc w:val="left"/>
              <w:rPr>
                <w:rFonts w:ascii="Century Gothic" w:hAnsi="Century Gothic" w:cs="Arial"/>
                <w:i w:val="0"/>
                <w:sz w:val="20"/>
              </w:rPr>
            </w:pPr>
            <w:r w:rsidRPr="0095586B">
              <w:rPr>
                <w:rFonts w:ascii="Century Gothic" w:hAnsi="Century Gothic" w:cs="Arial"/>
                <w:i w:val="0"/>
                <w:sz w:val="20"/>
              </w:rPr>
              <w:t>Estimated listing expenses</w:t>
            </w:r>
          </w:p>
        </w:tc>
        <w:tc>
          <w:tcPr>
            <w:tcW w:w="713" w:type="pct"/>
            <w:shd w:val="clear" w:color="auto" w:fill="auto"/>
            <w:vAlign w:val="center"/>
          </w:tcPr>
          <w:p w:rsidR="00A3419B" w:rsidRPr="0095586B" w:rsidRDefault="00A3419B" w:rsidP="00227506">
            <w:pPr>
              <w:pStyle w:val="BodyTextIndent"/>
              <w:tabs>
                <w:tab w:val="left" w:pos="2880"/>
                <w:tab w:val="right" w:pos="8647"/>
              </w:tabs>
              <w:spacing w:before="60" w:after="60" w:line="240" w:lineRule="exact"/>
              <w:ind w:left="0" w:right="253" w:hanging="17"/>
              <w:jc w:val="center"/>
              <w:rPr>
                <w:rFonts w:ascii="Century Gothic" w:hAnsi="Century Gothic" w:cs="Arial"/>
                <w:i w:val="0"/>
                <w:sz w:val="20"/>
              </w:rPr>
            </w:pPr>
            <w:r w:rsidRPr="0095586B">
              <w:rPr>
                <w:rFonts w:ascii="Century Gothic" w:hAnsi="Century Gothic" w:cs="Arial"/>
                <w:i w:val="0"/>
                <w:sz w:val="20"/>
              </w:rPr>
              <w:t>1,875</w:t>
            </w:r>
          </w:p>
        </w:tc>
        <w:tc>
          <w:tcPr>
            <w:tcW w:w="933" w:type="pct"/>
            <w:vAlign w:val="center"/>
          </w:tcPr>
          <w:p w:rsidR="00A3419B" w:rsidRPr="0095586B" w:rsidRDefault="00A3419B" w:rsidP="00227506">
            <w:pPr>
              <w:pStyle w:val="BodyTextIndent"/>
              <w:tabs>
                <w:tab w:val="left" w:pos="2880"/>
                <w:tab w:val="right" w:pos="8647"/>
              </w:tabs>
              <w:spacing w:before="60" w:after="60" w:line="240" w:lineRule="exact"/>
              <w:ind w:left="0" w:right="153" w:hanging="9"/>
              <w:jc w:val="center"/>
              <w:rPr>
                <w:rFonts w:ascii="Century Gothic" w:hAnsi="Century Gothic" w:cs="Arial"/>
                <w:i w:val="0"/>
                <w:sz w:val="20"/>
              </w:rPr>
            </w:pPr>
            <w:r w:rsidRPr="0095586B">
              <w:rPr>
                <w:rFonts w:ascii="Century Gothic" w:hAnsi="Century Gothic" w:cs="Arial"/>
                <w:i w:val="0"/>
                <w:sz w:val="20"/>
              </w:rPr>
              <w:t>1,875</w:t>
            </w:r>
          </w:p>
        </w:tc>
        <w:tc>
          <w:tcPr>
            <w:tcW w:w="706" w:type="pct"/>
            <w:vAlign w:val="center"/>
          </w:tcPr>
          <w:p w:rsidR="00A3419B" w:rsidRPr="0095586B" w:rsidRDefault="00A3419B" w:rsidP="00227506">
            <w:pPr>
              <w:pStyle w:val="BodyTextIndent"/>
              <w:tabs>
                <w:tab w:val="left" w:pos="2880"/>
                <w:tab w:val="right" w:pos="8647"/>
              </w:tabs>
              <w:spacing w:before="60" w:after="60" w:line="240" w:lineRule="exact"/>
              <w:ind w:left="0" w:right="153" w:hanging="9"/>
              <w:jc w:val="center"/>
              <w:rPr>
                <w:rFonts w:ascii="Century Gothic" w:hAnsi="Century Gothic" w:cs="Arial"/>
                <w:i w:val="0"/>
                <w:sz w:val="20"/>
              </w:rPr>
            </w:pPr>
            <w:r w:rsidRPr="0095586B">
              <w:rPr>
                <w:rFonts w:ascii="Century Gothic" w:hAnsi="Century Gothic" w:cs="Arial"/>
                <w:i w:val="0"/>
                <w:sz w:val="20"/>
              </w:rPr>
              <w:t>1,875</w:t>
            </w:r>
          </w:p>
        </w:tc>
        <w:tc>
          <w:tcPr>
            <w:tcW w:w="723" w:type="pct"/>
            <w:vAlign w:val="center"/>
          </w:tcPr>
          <w:p w:rsidR="00A3419B" w:rsidRPr="0095586B" w:rsidRDefault="00A3419B" w:rsidP="00227506">
            <w:pPr>
              <w:pStyle w:val="BodyTextIndent"/>
              <w:tabs>
                <w:tab w:val="left" w:pos="2880"/>
                <w:tab w:val="right" w:pos="8647"/>
              </w:tabs>
              <w:spacing w:before="60" w:after="60" w:line="240" w:lineRule="exact"/>
              <w:ind w:left="0" w:right="242" w:hanging="9"/>
              <w:jc w:val="center"/>
              <w:rPr>
                <w:rFonts w:ascii="Century Gothic" w:hAnsi="Century Gothic" w:cs="Arial"/>
                <w:i w:val="0"/>
                <w:sz w:val="20"/>
              </w:rPr>
            </w:pPr>
            <w:r w:rsidRPr="0095586B">
              <w:rPr>
                <w:rFonts w:ascii="Century Gothic" w:hAnsi="Century Gothic" w:cs="Arial"/>
                <w:i w:val="0"/>
                <w:sz w:val="20"/>
              </w:rPr>
              <w:t>-</w:t>
            </w:r>
          </w:p>
        </w:tc>
      </w:tr>
      <w:tr w:rsidR="00A3419B" w:rsidRPr="0095586B" w:rsidTr="00A3419B">
        <w:trPr>
          <w:trHeight w:val="312"/>
        </w:trPr>
        <w:tc>
          <w:tcPr>
            <w:tcW w:w="1925" w:type="pct"/>
            <w:shd w:val="clear" w:color="auto" w:fill="auto"/>
          </w:tcPr>
          <w:p w:rsidR="00A3419B" w:rsidRPr="0095586B" w:rsidRDefault="00A3419B" w:rsidP="00227506">
            <w:pPr>
              <w:pStyle w:val="BodyTextIndent"/>
              <w:tabs>
                <w:tab w:val="left" w:pos="2880"/>
                <w:tab w:val="right" w:pos="8647"/>
              </w:tabs>
              <w:spacing w:before="60" w:after="60" w:line="240" w:lineRule="exact"/>
              <w:ind w:left="0" w:firstLine="14"/>
              <w:jc w:val="left"/>
              <w:rPr>
                <w:rFonts w:ascii="Century Gothic" w:hAnsi="Century Gothic" w:cs="Arial"/>
                <w:i w:val="0"/>
                <w:sz w:val="20"/>
              </w:rPr>
            </w:pPr>
            <w:r w:rsidRPr="0095586B">
              <w:rPr>
                <w:rFonts w:ascii="Century Gothic" w:hAnsi="Century Gothic" w:cs="Arial"/>
                <w:i w:val="0"/>
                <w:sz w:val="20"/>
              </w:rPr>
              <w:t>Total</w:t>
            </w:r>
          </w:p>
        </w:tc>
        <w:tc>
          <w:tcPr>
            <w:tcW w:w="713" w:type="pct"/>
            <w:tcBorders>
              <w:top w:val="single" w:sz="4" w:space="0" w:color="auto"/>
              <w:bottom w:val="double" w:sz="4" w:space="0" w:color="auto"/>
            </w:tcBorders>
            <w:shd w:val="clear" w:color="auto" w:fill="auto"/>
            <w:vAlign w:val="center"/>
          </w:tcPr>
          <w:p w:rsidR="00A3419B" w:rsidRPr="0095586B" w:rsidRDefault="00A3419B" w:rsidP="00227506">
            <w:pPr>
              <w:pStyle w:val="BodyTextIndent"/>
              <w:tabs>
                <w:tab w:val="left" w:pos="2880"/>
                <w:tab w:val="right" w:pos="8647"/>
              </w:tabs>
              <w:wordWrap w:val="0"/>
              <w:spacing w:before="60" w:after="60" w:line="240" w:lineRule="exact"/>
              <w:ind w:left="0" w:right="253" w:hanging="17"/>
              <w:jc w:val="center"/>
              <w:rPr>
                <w:rFonts w:ascii="Century Gothic" w:hAnsi="Century Gothic" w:cs="Arial"/>
                <w:i w:val="0"/>
                <w:sz w:val="20"/>
              </w:rPr>
            </w:pPr>
            <w:r w:rsidRPr="0095586B">
              <w:rPr>
                <w:rFonts w:ascii="Century Gothic" w:hAnsi="Century Gothic" w:cs="Arial"/>
                <w:i w:val="0"/>
                <w:sz w:val="20"/>
              </w:rPr>
              <w:t>27,345</w:t>
            </w:r>
          </w:p>
        </w:tc>
        <w:tc>
          <w:tcPr>
            <w:tcW w:w="933" w:type="pct"/>
            <w:tcBorders>
              <w:top w:val="single" w:sz="4" w:space="0" w:color="auto"/>
              <w:bottom w:val="double" w:sz="4" w:space="0" w:color="auto"/>
            </w:tcBorders>
            <w:vAlign w:val="center"/>
          </w:tcPr>
          <w:p w:rsidR="00A3419B" w:rsidRPr="0095586B" w:rsidRDefault="00A3419B" w:rsidP="00227506">
            <w:pPr>
              <w:pStyle w:val="BodyTextIndent"/>
              <w:tabs>
                <w:tab w:val="left" w:pos="2880"/>
                <w:tab w:val="right" w:pos="8647"/>
              </w:tabs>
              <w:spacing w:before="60" w:after="60" w:line="240" w:lineRule="exact"/>
              <w:ind w:left="0" w:right="153" w:hanging="9"/>
              <w:jc w:val="center"/>
              <w:rPr>
                <w:rFonts w:ascii="Century Gothic" w:hAnsi="Century Gothic" w:cs="Arial"/>
                <w:i w:val="0"/>
                <w:sz w:val="20"/>
              </w:rPr>
            </w:pPr>
            <w:r w:rsidRPr="0095586B">
              <w:rPr>
                <w:rFonts w:ascii="Century Gothic" w:hAnsi="Century Gothic" w:cs="Arial"/>
                <w:i w:val="0"/>
                <w:sz w:val="20"/>
              </w:rPr>
              <w:t>27,345</w:t>
            </w:r>
          </w:p>
        </w:tc>
        <w:tc>
          <w:tcPr>
            <w:tcW w:w="706" w:type="pct"/>
            <w:tcBorders>
              <w:top w:val="single" w:sz="4" w:space="0" w:color="auto"/>
              <w:bottom w:val="double" w:sz="4" w:space="0" w:color="auto"/>
            </w:tcBorders>
            <w:vAlign w:val="center"/>
          </w:tcPr>
          <w:p w:rsidR="00A3419B" w:rsidRPr="0095586B" w:rsidRDefault="00A3419B" w:rsidP="00FD08EA">
            <w:pPr>
              <w:pStyle w:val="BodyTextIndent"/>
              <w:tabs>
                <w:tab w:val="left" w:pos="2880"/>
                <w:tab w:val="right" w:pos="8647"/>
              </w:tabs>
              <w:spacing w:before="60" w:after="60" w:line="240" w:lineRule="exact"/>
              <w:ind w:left="0" w:right="153" w:hanging="9"/>
              <w:jc w:val="center"/>
              <w:rPr>
                <w:rFonts w:ascii="Century Gothic" w:hAnsi="Century Gothic" w:cs="Arial"/>
                <w:i w:val="0"/>
                <w:sz w:val="20"/>
              </w:rPr>
            </w:pPr>
            <w:r w:rsidRPr="0095586B">
              <w:rPr>
                <w:rFonts w:ascii="Century Gothic" w:hAnsi="Century Gothic" w:cs="Arial"/>
                <w:i w:val="0"/>
                <w:sz w:val="20"/>
              </w:rPr>
              <w:t>27,</w:t>
            </w:r>
            <w:r>
              <w:rPr>
                <w:rFonts w:ascii="Century Gothic" w:hAnsi="Century Gothic" w:cs="Arial"/>
                <w:i w:val="0"/>
                <w:sz w:val="20"/>
              </w:rPr>
              <w:t>345</w:t>
            </w:r>
          </w:p>
        </w:tc>
        <w:tc>
          <w:tcPr>
            <w:tcW w:w="723" w:type="pct"/>
            <w:tcBorders>
              <w:top w:val="single" w:sz="4" w:space="0" w:color="auto"/>
              <w:bottom w:val="double" w:sz="4" w:space="0" w:color="auto"/>
            </w:tcBorders>
            <w:vAlign w:val="center"/>
          </w:tcPr>
          <w:p w:rsidR="00A3419B" w:rsidRPr="0095586B" w:rsidRDefault="00A3419B" w:rsidP="00227506">
            <w:pPr>
              <w:pStyle w:val="BodyTextIndent"/>
              <w:tabs>
                <w:tab w:val="left" w:pos="2880"/>
                <w:tab w:val="right" w:pos="8647"/>
              </w:tabs>
              <w:spacing w:before="60" w:after="60" w:line="240" w:lineRule="exact"/>
              <w:ind w:left="0" w:right="153" w:hanging="9"/>
              <w:jc w:val="center"/>
              <w:rPr>
                <w:rFonts w:ascii="Century Gothic" w:hAnsi="Century Gothic" w:cs="Arial"/>
                <w:i w:val="0"/>
                <w:sz w:val="20"/>
              </w:rPr>
            </w:pPr>
            <w:r w:rsidRPr="0095586B">
              <w:rPr>
                <w:rFonts w:ascii="Century Gothic" w:hAnsi="Century Gothic" w:cs="Arial"/>
                <w:i w:val="0"/>
                <w:sz w:val="20"/>
              </w:rPr>
              <w:t>-</w:t>
            </w:r>
          </w:p>
        </w:tc>
      </w:tr>
    </w:tbl>
    <w:p w:rsidR="0068267A" w:rsidRPr="0095586B" w:rsidRDefault="0068267A" w:rsidP="0068267A">
      <w:pPr>
        <w:ind w:left="360" w:hanging="270"/>
        <w:jc w:val="both"/>
        <w:rPr>
          <w:rFonts w:ascii="Century Gothic" w:hAnsi="Century Gothic" w:cs="Arial"/>
          <w:b/>
          <w:i/>
        </w:rPr>
      </w:pPr>
      <w:r w:rsidRPr="0095586B">
        <w:rPr>
          <w:rFonts w:ascii="Century Gothic" w:hAnsi="Century Gothic" w:cs="Arial"/>
          <w:b/>
          <w:i/>
        </w:rPr>
        <w:tab/>
      </w:r>
    </w:p>
    <w:p w:rsidR="0068267A" w:rsidRDefault="0068267A" w:rsidP="0068267A">
      <w:pPr>
        <w:ind w:left="1440"/>
        <w:jc w:val="both"/>
        <w:rPr>
          <w:rFonts w:ascii="Century Gothic" w:hAnsi="Century Gothic" w:cs="Arial"/>
          <w:i/>
        </w:rPr>
      </w:pPr>
      <w:r w:rsidRPr="0095586B">
        <w:rPr>
          <w:rFonts w:ascii="Century Gothic" w:hAnsi="Century Gothic" w:cs="Arial"/>
          <w:i/>
        </w:rPr>
        <w:t>* Note: The proceeds were used for Working Capital instead of Development Expenditure.</w:t>
      </w:r>
    </w:p>
    <w:p w:rsidR="00A3419B" w:rsidRDefault="00A3419B" w:rsidP="0068267A">
      <w:pPr>
        <w:ind w:left="1440"/>
        <w:jc w:val="both"/>
        <w:rPr>
          <w:rFonts w:ascii="Century Gothic" w:hAnsi="Century Gothic" w:cs="Arial"/>
          <w:i/>
        </w:rPr>
      </w:pPr>
    </w:p>
    <w:p w:rsidR="00A3419B" w:rsidRDefault="00A3419B" w:rsidP="0068267A">
      <w:pPr>
        <w:ind w:left="1440"/>
        <w:jc w:val="both"/>
        <w:rPr>
          <w:rFonts w:ascii="Century Gothic" w:hAnsi="Century Gothic" w:cs="Arial"/>
          <w:i/>
        </w:rPr>
      </w:pPr>
    </w:p>
    <w:p w:rsidR="00A3419B" w:rsidRDefault="00A3419B" w:rsidP="0068267A">
      <w:pPr>
        <w:ind w:left="1440"/>
        <w:jc w:val="both"/>
        <w:rPr>
          <w:rFonts w:ascii="Century Gothic" w:hAnsi="Century Gothic" w:cs="Arial"/>
          <w:i/>
        </w:rPr>
      </w:pPr>
    </w:p>
    <w:p w:rsidR="00A3419B" w:rsidRDefault="00A3419B" w:rsidP="0068267A">
      <w:pPr>
        <w:ind w:left="1440"/>
        <w:jc w:val="both"/>
        <w:rPr>
          <w:rFonts w:ascii="Century Gothic" w:hAnsi="Century Gothic" w:cs="Arial"/>
          <w:i/>
        </w:rPr>
      </w:pPr>
    </w:p>
    <w:p w:rsidR="00A3419B" w:rsidRDefault="00A3419B" w:rsidP="0068267A">
      <w:pPr>
        <w:ind w:left="1440"/>
        <w:jc w:val="both"/>
        <w:rPr>
          <w:rFonts w:ascii="Century Gothic" w:hAnsi="Century Gothic" w:cs="Arial"/>
          <w:i/>
        </w:rPr>
      </w:pPr>
    </w:p>
    <w:p w:rsidR="00E6722E" w:rsidRDefault="00E6722E" w:rsidP="0068267A">
      <w:pPr>
        <w:ind w:left="1440"/>
        <w:jc w:val="both"/>
        <w:rPr>
          <w:rFonts w:ascii="Century Gothic" w:hAnsi="Century Gothic" w:cs="Arial"/>
          <w:i/>
        </w:rPr>
      </w:pPr>
    </w:p>
    <w:p w:rsidR="00A3419B" w:rsidRPr="0095586B" w:rsidRDefault="00A3419B" w:rsidP="0068267A">
      <w:pPr>
        <w:ind w:left="1440"/>
        <w:jc w:val="both"/>
        <w:rPr>
          <w:rFonts w:ascii="Century Gothic" w:hAnsi="Century Gothic" w:cs="Arial"/>
          <w:i/>
        </w:rPr>
      </w:pPr>
    </w:p>
    <w:p w:rsidR="00F45733" w:rsidRPr="009620D0" w:rsidRDefault="00F45733">
      <w:pPr>
        <w:pStyle w:val="BodyText"/>
        <w:rPr>
          <w:rFonts w:ascii="Century Gothic" w:hAnsi="Century Gothic"/>
          <w:b/>
          <w:sz w:val="20"/>
        </w:rPr>
      </w:pPr>
    </w:p>
    <w:p w:rsidR="00E142D4" w:rsidRPr="009620D0" w:rsidRDefault="00E142D4" w:rsidP="00E142D4">
      <w:pPr>
        <w:ind w:left="720" w:hanging="720"/>
        <w:jc w:val="both"/>
        <w:rPr>
          <w:rFonts w:ascii="Century Gothic" w:hAnsi="Century Gothic"/>
          <w:b/>
        </w:rPr>
      </w:pPr>
      <w:r w:rsidRPr="009620D0">
        <w:rPr>
          <w:rFonts w:ascii="Century Gothic" w:hAnsi="Century Gothic"/>
          <w:b/>
        </w:rPr>
        <w:lastRenderedPageBreak/>
        <w:t>B</w:t>
      </w:r>
      <w:r w:rsidRPr="009620D0">
        <w:rPr>
          <w:rFonts w:ascii="Century Gothic" w:hAnsi="Century Gothic"/>
          <w:b/>
        </w:rPr>
        <w:tab/>
        <w:t>EXPLANATORY NOTES PURSUANT TO APPENDIX 9B OF THE ACE MARKET LISTING REQUIREMENTS OF BURSA SECURITIES (CONT’D)</w:t>
      </w:r>
    </w:p>
    <w:p w:rsidR="007A4704" w:rsidRPr="009620D0" w:rsidRDefault="007A4704">
      <w:pPr>
        <w:pStyle w:val="BodyText"/>
        <w:rPr>
          <w:rFonts w:ascii="Century Gothic" w:hAnsi="Century Gothic"/>
          <w:b/>
          <w:sz w:val="20"/>
        </w:rPr>
      </w:pPr>
    </w:p>
    <w:p w:rsidR="00E142D4" w:rsidRDefault="00E142D4" w:rsidP="00D73DFD">
      <w:pPr>
        <w:pStyle w:val="BodyText"/>
        <w:rPr>
          <w:rFonts w:ascii="Century Gothic" w:hAnsi="Century Gothic"/>
          <w:b/>
          <w:sz w:val="20"/>
        </w:rPr>
      </w:pPr>
    </w:p>
    <w:p w:rsidR="00D73DFD" w:rsidRPr="009620D0" w:rsidRDefault="009212A5" w:rsidP="00D73DFD">
      <w:pPr>
        <w:pStyle w:val="BodyText"/>
        <w:rPr>
          <w:rFonts w:ascii="Century Gothic" w:hAnsi="Century Gothic"/>
          <w:b/>
          <w:sz w:val="20"/>
        </w:rPr>
      </w:pPr>
      <w:r w:rsidRPr="009620D0">
        <w:rPr>
          <w:rFonts w:ascii="Century Gothic" w:hAnsi="Century Gothic"/>
          <w:b/>
          <w:sz w:val="20"/>
        </w:rPr>
        <w:t>B</w:t>
      </w:r>
      <w:r w:rsidR="00E142D4">
        <w:rPr>
          <w:rFonts w:ascii="Century Gothic" w:hAnsi="Century Gothic"/>
          <w:b/>
          <w:sz w:val="20"/>
        </w:rPr>
        <w:t>7</w:t>
      </w:r>
      <w:r w:rsidRPr="009620D0">
        <w:rPr>
          <w:rFonts w:ascii="Century Gothic" w:hAnsi="Century Gothic"/>
          <w:b/>
          <w:sz w:val="20"/>
        </w:rPr>
        <w:tab/>
        <w:t xml:space="preserve">Group Borrowings and Debt Securities </w:t>
      </w:r>
    </w:p>
    <w:p w:rsidR="00D73DFD" w:rsidRPr="009620D0" w:rsidRDefault="00D73DFD" w:rsidP="00D73DFD">
      <w:pPr>
        <w:pStyle w:val="BodyText"/>
        <w:rPr>
          <w:rFonts w:ascii="Century Gothic" w:hAnsi="Century Gothic"/>
          <w:b/>
          <w:sz w:val="16"/>
          <w:szCs w:val="16"/>
        </w:rPr>
      </w:pPr>
    </w:p>
    <w:tbl>
      <w:tblPr>
        <w:tblpPr w:leftFromText="180" w:rightFromText="180" w:vertAnchor="text" w:horzAnchor="margin" w:tblpXSpec="center" w:tblpY="43"/>
        <w:tblW w:w="8118" w:type="dxa"/>
        <w:tblLayout w:type="fixed"/>
        <w:tblLook w:val="0000" w:firstRow="0" w:lastRow="0" w:firstColumn="0" w:lastColumn="0" w:noHBand="0" w:noVBand="0"/>
      </w:tblPr>
      <w:tblGrid>
        <w:gridCol w:w="6138"/>
        <w:gridCol w:w="1710"/>
        <w:gridCol w:w="270"/>
      </w:tblGrid>
      <w:tr w:rsidR="00A3419B" w:rsidRPr="009620D0" w:rsidTr="00A3419B">
        <w:tc>
          <w:tcPr>
            <w:tcW w:w="6138" w:type="dxa"/>
          </w:tcPr>
          <w:p w:rsidR="00A3419B" w:rsidRPr="009620D0" w:rsidRDefault="00A3419B" w:rsidP="00A3419B">
            <w:pPr>
              <w:rPr>
                <w:rFonts w:ascii="Century Gothic" w:hAnsi="Century Gothic"/>
                <w:b/>
              </w:rPr>
            </w:pPr>
          </w:p>
        </w:tc>
        <w:tc>
          <w:tcPr>
            <w:tcW w:w="1710" w:type="dxa"/>
          </w:tcPr>
          <w:p w:rsidR="00A3419B" w:rsidRPr="009620D0" w:rsidRDefault="00A3419B" w:rsidP="00A3419B">
            <w:pPr>
              <w:pStyle w:val="Heading2"/>
              <w:rPr>
                <w:rFonts w:ascii="Century Gothic" w:hAnsi="Century Gothic"/>
                <w:b/>
                <w:sz w:val="20"/>
                <w:u w:val="single"/>
              </w:rPr>
            </w:pPr>
            <w:r w:rsidRPr="009620D0">
              <w:rPr>
                <w:rFonts w:ascii="Century Gothic" w:hAnsi="Century Gothic"/>
                <w:b/>
                <w:sz w:val="20"/>
                <w:u w:val="single"/>
              </w:rPr>
              <w:t>Secured</w:t>
            </w:r>
          </w:p>
        </w:tc>
        <w:tc>
          <w:tcPr>
            <w:tcW w:w="270" w:type="dxa"/>
          </w:tcPr>
          <w:p w:rsidR="00A3419B" w:rsidRPr="009620D0" w:rsidRDefault="00A3419B" w:rsidP="00A3419B">
            <w:pPr>
              <w:jc w:val="center"/>
              <w:rPr>
                <w:rFonts w:ascii="Century Gothic" w:hAnsi="Century Gothic"/>
                <w:b/>
              </w:rPr>
            </w:pPr>
          </w:p>
        </w:tc>
      </w:tr>
      <w:tr w:rsidR="00A3419B" w:rsidRPr="009620D0" w:rsidTr="00A3419B">
        <w:tc>
          <w:tcPr>
            <w:tcW w:w="6138" w:type="dxa"/>
          </w:tcPr>
          <w:p w:rsidR="00A3419B" w:rsidRPr="009620D0" w:rsidRDefault="00A3419B" w:rsidP="00A3419B">
            <w:pPr>
              <w:rPr>
                <w:rFonts w:ascii="Century Gothic" w:hAnsi="Century Gothic"/>
              </w:rPr>
            </w:pPr>
          </w:p>
        </w:tc>
        <w:tc>
          <w:tcPr>
            <w:tcW w:w="1710" w:type="dxa"/>
          </w:tcPr>
          <w:p w:rsidR="00A3419B" w:rsidRPr="009620D0" w:rsidRDefault="00A3419B" w:rsidP="00A3419B">
            <w:pPr>
              <w:jc w:val="center"/>
              <w:rPr>
                <w:rFonts w:ascii="Century Gothic" w:hAnsi="Century Gothic"/>
                <w:b/>
              </w:rPr>
            </w:pPr>
            <w:r w:rsidRPr="009620D0">
              <w:rPr>
                <w:rFonts w:ascii="Century Gothic" w:hAnsi="Century Gothic"/>
                <w:b/>
              </w:rPr>
              <w:t>RM’000</w:t>
            </w:r>
          </w:p>
        </w:tc>
        <w:tc>
          <w:tcPr>
            <w:tcW w:w="270" w:type="dxa"/>
          </w:tcPr>
          <w:p w:rsidR="00A3419B" w:rsidRPr="009620D0" w:rsidRDefault="00A3419B" w:rsidP="00A3419B">
            <w:pPr>
              <w:jc w:val="center"/>
              <w:rPr>
                <w:rFonts w:ascii="Century Gothic" w:hAnsi="Century Gothic"/>
                <w:b/>
              </w:rPr>
            </w:pPr>
          </w:p>
        </w:tc>
      </w:tr>
      <w:tr w:rsidR="00A3419B" w:rsidRPr="009620D0" w:rsidTr="00A3419B">
        <w:tc>
          <w:tcPr>
            <w:tcW w:w="6138" w:type="dxa"/>
          </w:tcPr>
          <w:p w:rsidR="00A3419B" w:rsidRPr="009620D0" w:rsidRDefault="00A3419B" w:rsidP="00A3419B">
            <w:pPr>
              <w:rPr>
                <w:rFonts w:ascii="Century Gothic" w:hAnsi="Century Gothic"/>
                <w:b/>
                <w:u w:val="single"/>
              </w:rPr>
            </w:pPr>
            <w:r w:rsidRPr="009620D0">
              <w:rPr>
                <w:rFonts w:ascii="Century Gothic" w:hAnsi="Century Gothic"/>
                <w:b/>
                <w:u w:val="single"/>
              </w:rPr>
              <w:t>Current</w:t>
            </w:r>
          </w:p>
        </w:tc>
        <w:tc>
          <w:tcPr>
            <w:tcW w:w="1710" w:type="dxa"/>
          </w:tcPr>
          <w:p w:rsidR="00A3419B" w:rsidRPr="009620D0" w:rsidRDefault="00A3419B" w:rsidP="00A3419B">
            <w:pPr>
              <w:autoSpaceDE w:val="0"/>
              <w:autoSpaceDN w:val="0"/>
              <w:adjustRightInd w:val="0"/>
              <w:jc w:val="right"/>
              <w:rPr>
                <w:rFonts w:ascii="Calibri" w:hAnsi="Calibri" w:cs="Calibri"/>
                <w:sz w:val="22"/>
                <w:szCs w:val="22"/>
                <w:lang w:val="en-MY" w:eastAsia="en-MY"/>
              </w:rPr>
            </w:pPr>
          </w:p>
        </w:tc>
        <w:tc>
          <w:tcPr>
            <w:tcW w:w="270" w:type="dxa"/>
          </w:tcPr>
          <w:p w:rsidR="00A3419B" w:rsidRPr="009620D0" w:rsidRDefault="00A3419B" w:rsidP="00A3419B">
            <w:pPr>
              <w:rPr>
                <w:rFonts w:ascii="Century Gothic" w:hAnsi="Century Gothic"/>
              </w:rPr>
            </w:pPr>
          </w:p>
        </w:tc>
      </w:tr>
      <w:tr w:rsidR="00A3419B" w:rsidRPr="009620D0" w:rsidTr="00A3419B">
        <w:tc>
          <w:tcPr>
            <w:tcW w:w="6138" w:type="dxa"/>
          </w:tcPr>
          <w:p w:rsidR="00A3419B" w:rsidRPr="009620D0" w:rsidRDefault="00A3419B" w:rsidP="00A3419B">
            <w:pPr>
              <w:rPr>
                <w:rFonts w:ascii="Century Gothic" w:hAnsi="Century Gothic"/>
              </w:rPr>
            </w:pPr>
            <w:r w:rsidRPr="009620D0">
              <w:rPr>
                <w:rFonts w:ascii="Century Gothic" w:hAnsi="Century Gothic"/>
              </w:rPr>
              <w:t>Hire purchase</w:t>
            </w:r>
          </w:p>
        </w:tc>
        <w:tc>
          <w:tcPr>
            <w:tcW w:w="1710" w:type="dxa"/>
          </w:tcPr>
          <w:p w:rsidR="00A3419B" w:rsidRPr="009620D0" w:rsidRDefault="00A3419B" w:rsidP="004A6E8C">
            <w:pPr>
              <w:autoSpaceDE w:val="0"/>
              <w:autoSpaceDN w:val="0"/>
              <w:adjustRightInd w:val="0"/>
              <w:jc w:val="right"/>
              <w:rPr>
                <w:rFonts w:ascii="Century Gothic" w:hAnsi="Century Gothic" w:cs="Calibri"/>
                <w:szCs w:val="22"/>
                <w:lang w:val="en-MY" w:eastAsia="en-MY"/>
              </w:rPr>
            </w:pPr>
            <w:r>
              <w:rPr>
                <w:rFonts w:ascii="Century Gothic" w:hAnsi="Century Gothic" w:cs="Calibri"/>
                <w:szCs w:val="22"/>
                <w:lang w:val="en-MY" w:eastAsia="en-MY"/>
              </w:rPr>
              <w:t>2</w:t>
            </w:r>
            <w:r w:rsidR="004A6E8C">
              <w:rPr>
                <w:rFonts w:ascii="Century Gothic" w:hAnsi="Century Gothic" w:cs="Calibri"/>
                <w:szCs w:val="22"/>
                <w:lang w:val="en-MY" w:eastAsia="en-MY"/>
              </w:rPr>
              <w:t>39</w:t>
            </w:r>
          </w:p>
        </w:tc>
        <w:tc>
          <w:tcPr>
            <w:tcW w:w="270" w:type="dxa"/>
          </w:tcPr>
          <w:p w:rsidR="00A3419B" w:rsidRPr="009620D0" w:rsidRDefault="00A3419B" w:rsidP="00A3419B">
            <w:pPr>
              <w:ind w:right="252"/>
              <w:jc w:val="right"/>
              <w:rPr>
                <w:rFonts w:ascii="Century Gothic" w:hAnsi="Century Gothic"/>
              </w:rPr>
            </w:pPr>
          </w:p>
        </w:tc>
      </w:tr>
      <w:tr w:rsidR="00A3419B" w:rsidRPr="009620D0" w:rsidTr="00A3419B">
        <w:tc>
          <w:tcPr>
            <w:tcW w:w="6138" w:type="dxa"/>
          </w:tcPr>
          <w:p w:rsidR="00A3419B" w:rsidRPr="009620D0" w:rsidRDefault="00A3419B" w:rsidP="00A3419B">
            <w:pPr>
              <w:rPr>
                <w:rFonts w:ascii="Century Gothic" w:hAnsi="Century Gothic"/>
              </w:rPr>
            </w:pPr>
          </w:p>
        </w:tc>
        <w:tc>
          <w:tcPr>
            <w:tcW w:w="1710" w:type="dxa"/>
            <w:tcBorders>
              <w:top w:val="single" w:sz="4" w:space="0" w:color="auto"/>
            </w:tcBorders>
            <w:vAlign w:val="center"/>
          </w:tcPr>
          <w:p w:rsidR="00A3419B" w:rsidRPr="009620D0" w:rsidRDefault="00A3419B" w:rsidP="00A3419B">
            <w:pPr>
              <w:ind w:right="162"/>
              <w:jc w:val="right"/>
              <w:rPr>
                <w:rFonts w:ascii="Century Gothic" w:hAnsi="Century Gothic"/>
              </w:rPr>
            </w:pPr>
          </w:p>
        </w:tc>
        <w:tc>
          <w:tcPr>
            <w:tcW w:w="270" w:type="dxa"/>
          </w:tcPr>
          <w:p w:rsidR="00A3419B" w:rsidRPr="009620D0" w:rsidRDefault="00A3419B" w:rsidP="00A3419B">
            <w:pPr>
              <w:ind w:right="252"/>
              <w:jc w:val="right"/>
              <w:rPr>
                <w:rFonts w:ascii="Century Gothic" w:hAnsi="Century Gothic"/>
              </w:rPr>
            </w:pPr>
          </w:p>
        </w:tc>
      </w:tr>
      <w:tr w:rsidR="00A3419B" w:rsidRPr="009620D0" w:rsidTr="00A3419B">
        <w:tc>
          <w:tcPr>
            <w:tcW w:w="6138" w:type="dxa"/>
          </w:tcPr>
          <w:p w:rsidR="00A3419B" w:rsidRPr="009620D0" w:rsidRDefault="00A3419B" w:rsidP="00A3419B">
            <w:pPr>
              <w:rPr>
                <w:rFonts w:ascii="Century Gothic" w:hAnsi="Century Gothic"/>
                <w:b/>
                <w:u w:val="single"/>
              </w:rPr>
            </w:pPr>
            <w:r w:rsidRPr="009620D0">
              <w:rPr>
                <w:rFonts w:ascii="Century Gothic" w:hAnsi="Century Gothic"/>
                <w:b/>
                <w:u w:val="single"/>
              </w:rPr>
              <w:t>Non-current</w:t>
            </w:r>
          </w:p>
        </w:tc>
        <w:tc>
          <w:tcPr>
            <w:tcW w:w="1710" w:type="dxa"/>
            <w:vAlign w:val="center"/>
          </w:tcPr>
          <w:p w:rsidR="00A3419B" w:rsidRPr="009620D0" w:rsidRDefault="00A3419B" w:rsidP="00A3419B">
            <w:pPr>
              <w:ind w:right="162"/>
              <w:jc w:val="right"/>
              <w:rPr>
                <w:rFonts w:ascii="Century Gothic" w:hAnsi="Century Gothic"/>
              </w:rPr>
            </w:pPr>
          </w:p>
        </w:tc>
        <w:tc>
          <w:tcPr>
            <w:tcW w:w="270" w:type="dxa"/>
          </w:tcPr>
          <w:p w:rsidR="00A3419B" w:rsidRPr="009620D0" w:rsidRDefault="00A3419B" w:rsidP="00A3419B">
            <w:pPr>
              <w:ind w:right="252"/>
              <w:jc w:val="right"/>
              <w:rPr>
                <w:rFonts w:ascii="Century Gothic" w:hAnsi="Century Gothic"/>
              </w:rPr>
            </w:pPr>
          </w:p>
        </w:tc>
      </w:tr>
      <w:tr w:rsidR="004A6E8C" w:rsidRPr="009620D0" w:rsidTr="00A3419B">
        <w:tc>
          <w:tcPr>
            <w:tcW w:w="6138" w:type="dxa"/>
          </w:tcPr>
          <w:p w:rsidR="004A6E8C" w:rsidRPr="009620D0" w:rsidRDefault="004A6E8C" w:rsidP="004A6E8C">
            <w:pPr>
              <w:rPr>
                <w:rFonts w:ascii="Century Gothic" w:hAnsi="Century Gothic"/>
              </w:rPr>
            </w:pPr>
            <w:r w:rsidRPr="009620D0">
              <w:rPr>
                <w:rFonts w:ascii="Century Gothic" w:hAnsi="Century Gothic"/>
              </w:rPr>
              <w:t>Hire purchase</w:t>
            </w:r>
          </w:p>
        </w:tc>
        <w:tc>
          <w:tcPr>
            <w:tcW w:w="1710" w:type="dxa"/>
            <w:tcBorders>
              <w:bottom w:val="single" w:sz="4" w:space="0" w:color="auto"/>
            </w:tcBorders>
          </w:tcPr>
          <w:p w:rsidR="004A6E8C" w:rsidRPr="009620D0" w:rsidRDefault="004A6E8C" w:rsidP="00714432">
            <w:pPr>
              <w:autoSpaceDE w:val="0"/>
              <w:autoSpaceDN w:val="0"/>
              <w:adjustRightInd w:val="0"/>
              <w:jc w:val="right"/>
              <w:rPr>
                <w:rFonts w:ascii="Century Gothic" w:hAnsi="Century Gothic" w:cs="Calibri"/>
                <w:szCs w:val="22"/>
                <w:lang w:val="en-MY" w:eastAsia="en-MY"/>
              </w:rPr>
            </w:pPr>
            <w:r>
              <w:rPr>
                <w:rFonts w:ascii="Century Gothic" w:hAnsi="Century Gothic" w:cs="Calibri"/>
                <w:szCs w:val="22"/>
                <w:lang w:val="en-MY" w:eastAsia="en-MY"/>
              </w:rPr>
              <w:t>15</w:t>
            </w:r>
            <w:r w:rsidR="00714432">
              <w:rPr>
                <w:rFonts w:ascii="Century Gothic" w:hAnsi="Century Gothic" w:cs="Calibri"/>
                <w:szCs w:val="22"/>
                <w:lang w:val="en-MY" w:eastAsia="en-MY"/>
              </w:rPr>
              <w:t>6</w:t>
            </w:r>
          </w:p>
        </w:tc>
        <w:tc>
          <w:tcPr>
            <w:tcW w:w="270" w:type="dxa"/>
          </w:tcPr>
          <w:p w:rsidR="004A6E8C" w:rsidRPr="009620D0" w:rsidRDefault="004A6E8C" w:rsidP="004A6E8C">
            <w:pPr>
              <w:ind w:right="252"/>
              <w:jc w:val="right"/>
              <w:rPr>
                <w:rFonts w:ascii="Century Gothic" w:hAnsi="Century Gothic"/>
              </w:rPr>
            </w:pPr>
          </w:p>
        </w:tc>
      </w:tr>
      <w:tr w:rsidR="004A6E8C" w:rsidRPr="009620D0" w:rsidTr="00A3419B">
        <w:tc>
          <w:tcPr>
            <w:tcW w:w="6138" w:type="dxa"/>
          </w:tcPr>
          <w:p w:rsidR="004A6E8C" w:rsidRPr="009620D0" w:rsidRDefault="004A6E8C" w:rsidP="004A6E8C">
            <w:pPr>
              <w:rPr>
                <w:rFonts w:ascii="Century Gothic" w:hAnsi="Century Gothic"/>
              </w:rPr>
            </w:pPr>
          </w:p>
        </w:tc>
        <w:tc>
          <w:tcPr>
            <w:tcW w:w="1710" w:type="dxa"/>
            <w:tcBorders>
              <w:bottom w:val="single" w:sz="4" w:space="0" w:color="auto"/>
            </w:tcBorders>
            <w:vAlign w:val="center"/>
          </w:tcPr>
          <w:p w:rsidR="004A6E8C" w:rsidRPr="009620D0" w:rsidRDefault="004A6E8C" w:rsidP="004A6E8C">
            <w:pPr>
              <w:ind w:right="162"/>
              <w:jc w:val="right"/>
              <w:rPr>
                <w:rFonts w:ascii="Century Gothic" w:hAnsi="Century Gothic"/>
              </w:rPr>
            </w:pPr>
          </w:p>
        </w:tc>
        <w:tc>
          <w:tcPr>
            <w:tcW w:w="270" w:type="dxa"/>
          </w:tcPr>
          <w:p w:rsidR="004A6E8C" w:rsidRPr="009620D0" w:rsidRDefault="004A6E8C" w:rsidP="004A6E8C">
            <w:pPr>
              <w:ind w:right="252"/>
              <w:jc w:val="right"/>
              <w:rPr>
                <w:rFonts w:ascii="Century Gothic" w:hAnsi="Century Gothic"/>
              </w:rPr>
            </w:pPr>
          </w:p>
        </w:tc>
      </w:tr>
      <w:tr w:rsidR="004A6E8C" w:rsidRPr="009620D0" w:rsidTr="00A3419B">
        <w:tc>
          <w:tcPr>
            <w:tcW w:w="6138" w:type="dxa"/>
          </w:tcPr>
          <w:p w:rsidR="004A6E8C" w:rsidRPr="009620D0" w:rsidRDefault="004A6E8C" w:rsidP="004A6E8C">
            <w:pPr>
              <w:rPr>
                <w:rFonts w:ascii="Century Gothic" w:hAnsi="Century Gothic"/>
                <w:b/>
              </w:rPr>
            </w:pPr>
            <w:r w:rsidRPr="009620D0">
              <w:rPr>
                <w:rFonts w:ascii="Century Gothic" w:hAnsi="Century Gothic"/>
                <w:b/>
              </w:rPr>
              <w:t>Total</w:t>
            </w:r>
          </w:p>
        </w:tc>
        <w:tc>
          <w:tcPr>
            <w:tcW w:w="1710" w:type="dxa"/>
            <w:tcBorders>
              <w:top w:val="single" w:sz="4" w:space="0" w:color="auto"/>
              <w:bottom w:val="double" w:sz="4" w:space="0" w:color="auto"/>
            </w:tcBorders>
            <w:vAlign w:val="center"/>
          </w:tcPr>
          <w:p w:rsidR="004A6E8C" w:rsidRPr="009620D0" w:rsidRDefault="004A6E8C" w:rsidP="00714432">
            <w:pPr>
              <w:jc w:val="right"/>
              <w:rPr>
                <w:rFonts w:ascii="Century Gothic" w:hAnsi="Century Gothic"/>
                <w:bCs/>
                <w:szCs w:val="18"/>
              </w:rPr>
            </w:pPr>
            <w:r>
              <w:rPr>
                <w:rFonts w:ascii="Century Gothic" w:hAnsi="Century Gothic" w:cs="Calibri"/>
                <w:szCs w:val="22"/>
                <w:lang w:val="en-MY" w:eastAsia="en-MY"/>
              </w:rPr>
              <w:t>39</w:t>
            </w:r>
            <w:r w:rsidR="00714432">
              <w:rPr>
                <w:rFonts w:ascii="Century Gothic" w:hAnsi="Century Gothic" w:cs="Calibri"/>
                <w:szCs w:val="22"/>
                <w:lang w:val="en-MY" w:eastAsia="en-MY"/>
              </w:rPr>
              <w:t>5</w:t>
            </w:r>
          </w:p>
        </w:tc>
        <w:tc>
          <w:tcPr>
            <w:tcW w:w="270" w:type="dxa"/>
          </w:tcPr>
          <w:p w:rsidR="004A6E8C" w:rsidRPr="009620D0" w:rsidRDefault="004A6E8C" w:rsidP="004A6E8C">
            <w:pPr>
              <w:ind w:right="252"/>
              <w:jc w:val="right"/>
              <w:rPr>
                <w:rFonts w:ascii="Century Gothic" w:hAnsi="Century Gothic"/>
              </w:rPr>
            </w:pPr>
          </w:p>
        </w:tc>
      </w:tr>
    </w:tbl>
    <w:p w:rsidR="00D73DFD" w:rsidRPr="009620D0" w:rsidRDefault="00D73DFD" w:rsidP="00D73DFD">
      <w:pPr>
        <w:pStyle w:val="BodyText"/>
        <w:rPr>
          <w:rFonts w:ascii="Century Gothic" w:hAnsi="Century Gothic"/>
          <w:b/>
        </w:rPr>
      </w:pPr>
    </w:p>
    <w:p w:rsidR="00D73DFD" w:rsidRPr="009620D0" w:rsidRDefault="00D73DFD" w:rsidP="00D73DFD">
      <w:pPr>
        <w:pStyle w:val="BodyText"/>
        <w:rPr>
          <w:rFonts w:ascii="Century Gothic" w:hAnsi="Century Gothic"/>
          <w:b/>
        </w:rPr>
      </w:pPr>
    </w:p>
    <w:p w:rsidR="00D73DFD" w:rsidRPr="009620D0" w:rsidRDefault="00D73DFD" w:rsidP="00D73DFD">
      <w:pPr>
        <w:pStyle w:val="BodyText"/>
        <w:rPr>
          <w:rFonts w:ascii="Century Gothic" w:hAnsi="Century Gothic"/>
          <w:b/>
        </w:rPr>
      </w:pPr>
    </w:p>
    <w:p w:rsidR="00D73DFD" w:rsidRPr="009620D0" w:rsidRDefault="00D73DFD" w:rsidP="00D73DFD">
      <w:pPr>
        <w:pStyle w:val="BodyText"/>
        <w:rPr>
          <w:rFonts w:ascii="Century Gothic" w:hAnsi="Century Gothic"/>
          <w:b/>
        </w:rPr>
      </w:pPr>
    </w:p>
    <w:p w:rsidR="00D73DFD" w:rsidRPr="009620D0" w:rsidRDefault="00D73DFD" w:rsidP="00D73DFD">
      <w:pPr>
        <w:pStyle w:val="BodyText"/>
        <w:rPr>
          <w:rFonts w:ascii="Century Gothic" w:hAnsi="Century Gothic"/>
          <w:b/>
        </w:rPr>
      </w:pPr>
    </w:p>
    <w:p w:rsidR="00D73DFD" w:rsidRPr="009620D0" w:rsidRDefault="00D73DFD" w:rsidP="00D73DFD">
      <w:pPr>
        <w:pStyle w:val="BodyText"/>
        <w:rPr>
          <w:rFonts w:ascii="Century Gothic" w:hAnsi="Century Gothic"/>
          <w:b/>
        </w:rPr>
      </w:pPr>
    </w:p>
    <w:p w:rsidR="00287EA0" w:rsidRPr="009620D0" w:rsidRDefault="00287EA0" w:rsidP="00080335">
      <w:pPr>
        <w:ind w:left="720" w:hanging="720"/>
        <w:jc w:val="both"/>
        <w:rPr>
          <w:rFonts w:ascii="Century Gothic" w:hAnsi="Century Gothic"/>
          <w:b/>
        </w:rPr>
      </w:pPr>
    </w:p>
    <w:p w:rsidR="004A6E8C" w:rsidRDefault="004A6E8C" w:rsidP="00313C2B">
      <w:pPr>
        <w:pStyle w:val="BodyText"/>
        <w:rPr>
          <w:rFonts w:ascii="Century Gothic" w:hAnsi="Century Gothic"/>
          <w:b/>
          <w:sz w:val="20"/>
        </w:rPr>
      </w:pPr>
    </w:p>
    <w:p w:rsidR="004A6E8C" w:rsidRDefault="004A6E8C" w:rsidP="00313C2B">
      <w:pPr>
        <w:pStyle w:val="BodyText"/>
        <w:rPr>
          <w:rFonts w:ascii="Century Gothic" w:hAnsi="Century Gothic"/>
          <w:b/>
          <w:sz w:val="20"/>
        </w:rPr>
      </w:pPr>
    </w:p>
    <w:p w:rsidR="004A6E8C" w:rsidRDefault="004A6E8C" w:rsidP="00313C2B">
      <w:pPr>
        <w:pStyle w:val="BodyText"/>
        <w:rPr>
          <w:rFonts w:ascii="Century Gothic" w:hAnsi="Century Gothic"/>
          <w:b/>
          <w:sz w:val="20"/>
        </w:rPr>
      </w:pPr>
    </w:p>
    <w:p w:rsidR="00674018" w:rsidRPr="009620D0" w:rsidRDefault="00674018" w:rsidP="00674018">
      <w:pPr>
        <w:pStyle w:val="BodyText"/>
        <w:rPr>
          <w:rFonts w:ascii="Century Gothic" w:hAnsi="Century Gothic"/>
          <w:b/>
          <w:sz w:val="20"/>
        </w:rPr>
      </w:pPr>
      <w:r>
        <w:rPr>
          <w:rFonts w:ascii="Century Gothic" w:hAnsi="Century Gothic"/>
          <w:b/>
          <w:sz w:val="20"/>
        </w:rPr>
        <w:t>B8</w:t>
      </w:r>
      <w:r w:rsidRPr="009620D0">
        <w:rPr>
          <w:rFonts w:ascii="Century Gothic" w:hAnsi="Century Gothic"/>
          <w:b/>
          <w:sz w:val="20"/>
        </w:rPr>
        <w:tab/>
        <w:t>Material Litigations</w:t>
      </w:r>
    </w:p>
    <w:p w:rsidR="00674018" w:rsidRPr="009620D0" w:rsidRDefault="00674018" w:rsidP="00674018">
      <w:pPr>
        <w:pStyle w:val="BodyText"/>
        <w:rPr>
          <w:rFonts w:ascii="Century Gothic" w:hAnsi="Century Gothic"/>
          <w:b/>
          <w:sz w:val="20"/>
        </w:rPr>
      </w:pPr>
    </w:p>
    <w:p w:rsidR="00674018" w:rsidRDefault="00674018" w:rsidP="00674018">
      <w:pPr>
        <w:pStyle w:val="1AutoList1"/>
        <w:ind w:firstLine="0"/>
        <w:rPr>
          <w:sz w:val="20"/>
          <w:szCs w:val="20"/>
        </w:rPr>
      </w:pPr>
    </w:p>
    <w:p w:rsidR="00674018" w:rsidRPr="00DE4708" w:rsidRDefault="00674018" w:rsidP="00674018">
      <w:pPr>
        <w:pStyle w:val="BodyText"/>
        <w:ind w:left="1418" w:hanging="698"/>
        <w:rPr>
          <w:rFonts w:ascii="Century Gothic" w:hAnsi="Century Gothic" w:cs="Arial"/>
          <w:b/>
          <w:bCs/>
          <w:sz w:val="20"/>
          <w:u w:val="single"/>
        </w:rPr>
      </w:pPr>
      <w:r w:rsidRPr="0068562A">
        <w:rPr>
          <w:rFonts w:ascii="Century Gothic" w:hAnsi="Century Gothic" w:cs="Arial"/>
          <w:bCs/>
          <w:sz w:val="20"/>
        </w:rPr>
        <w:t>(a)</w:t>
      </w:r>
      <w:r w:rsidRPr="0068562A">
        <w:rPr>
          <w:rFonts w:ascii="Century Gothic" w:hAnsi="Century Gothic" w:cs="Arial"/>
          <w:bCs/>
          <w:sz w:val="20"/>
        </w:rPr>
        <w:tab/>
      </w:r>
      <w:r w:rsidRPr="00DE4708">
        <w:rPr>
          <w:rFonts w:ascii="Century Gothic" w:hAnsi="Century Gothic" w:cs="Arial"/>
          <w:b/>
          <w:bCs/>
          <w:sz w:val="20"/>
          <w:u w:val="single"/>
        </w:rPr>
        <w:t>SCAN Associates Berhad (“The Plaintiff”) Vs</w:t>
      </w:r>
      <w:r>
        <w:rPr>
          <w:rFonts w:ascii="Century Gothic" w:hAnsi="Century Gothic" w:cs="Arial"/>
          <w:b/>
          <w:bCs/>
          <w:sz w:val="20"/>
          <w:u w:val="single"/>
        </w:rPr>
        <w:t xml:space="preserve">. </w:t>
      </w:r>
      <w:r w:rsidRPr="00DE4708">
        <w:rPr>
          <w:rFonts w:ascii="Century Gothic" w:hAnsi="Century Gothic" w:cs="Arial"/>
          <w:b/>
          <w:bCs/>
          <w:sz w:val="20"/>
          <w:u w:val="single"/>
        </w:rPr>
        <w:t>Dato’ Aminuddin Baki @ Sabtu bin Esa (“The Defendant”)</w:t>
      </w:r>
    </w:p>
    <w:p w:rsidR="00674018" w:rsidRPr="0068562A" w:rsidRDefault="00674018" w:rsidP="00674018">
      <w:pPr>
        <w:pStyle w:val="BodyText"/>
        <w:ind w:left="1418"/>
        <w:rPr>
          <w:rFonts w:ascii="Century Gothic" w:hAnsi="Century Gothic" w:cs="Arial"/>
          <w:bCs/>
          <w:sz w:val="20"/>
        </w:rPr>
      </w:pPr>
    </w:p>
    <w:p w:rsidR="00674018" w:rsidRPr="0068562A" w:rsidRDefault="00674018" w:rsidP="00674018">
      <w:pPr>
        <w:pStyle w:val="BodyText"/>
        <w:ind w:left="1418"/>
        <w:rPr>
          <w:rFonts w:ascii="Century Gothic" w:hAnsi="Century Gothic" w:cs="Arial"/>
          <w:bCs/>
          <w:sz w:val="20"/>
        </w:rPr>
      </w:pPr>
      <w:r w:rsidRPr="0068562A">
        <w:rPr>
          <w:rFonts w:ascii="Century Gothic" w:hAnsi="Century Gothic" w:cs="Arial"/>
          <w:bCs/>
          <w:sz w:val="20"/>
        </w:rPr>
        <w:t xml:space="preserve">On 20th September 2013, the Company announced that </w:t>
      </w:r>
      <w:r>
        <w:rPr>
          <w:rFonts w:ascii="Century Gothic" w:hAnsi="Century Gothic" w:cs="Arial"/>
          <w:bCs/>
          <w:sz w:val="20"/>
        </w:rPr>
        <w:t>the Plaintiff</w:t>
      </w:r>
      <w:r w:rsidRPr="0068562A">
        <w:rPr>
          <w:rFonts w:ascii="Century Gothic" w:hAnsi="Century Gothic" w:cs="Arial"/>
          <w:bCs/>
          <w:sz w:val="20"/>
        </w:rPr>
        <w:t xml:space="preserve"> had served a Writ of Summon dated 11th September 2013, on 19th September 2013, to </w:t>
      </w:r>
      <w:r>
        <w:rPr>
          <w:rFonts w:ascii="Century Gothic" w:hAnsi="Century Gothic" w:cs="Arial"/>
          <w:bCs/>
          <w:sz w:val="20"/>
        </w:rPr>
        <w:t>the defendant</w:t>
      </w:r>
      <w:r w:rsidRPr="0068562A">
        <w:rPr>
          <w:rFonts w:ascii="Century Gothic" w:hAnsi="Century Gothic" w:cs="Arial"/>
          <w:bCs/>
          <w:sz w:val="20"/>
        </w:rPr>
        <w:t xml:space="preserve"> who was at all material times a director and a Chief Executive Officer of the Plaintiff.</w:t>
      </w:r>
    </w:p>
    <w:p w:rsidR="00674018" w:rsidRPr="0068562A" w:rsidRDefault="00674018" w:rsidP="00674018">
      <w:pPr>
        <w:pStyle w:val="BodyText"/>
        <w:ind w:left="1418"/>
        <w:rPr>
          <w:rFonts w:ascii="Century Gothic" w:hAnsi="Century Gothic" w:cs="Arial"/>
          <w:bCs/>
          <w:sz w:val="20"/>
        </w:rPr>
      </w:pPr>
    </w:p>
    <w:p w:rsidR="00674018" w:rsidRPr="0068562A" w:rsidRDefault="00674018" w:rsidP="00674018">
      <w:pPr>
        <w:pStyle w:val="BodyText"/>
        <w:ind w:left="1418"/>
        <w:rPr>
          <w:rFonts w:ascii="Century Gothic" w:hAnsi="Century Gothic" w:cs="Arial"/>
          <w:bCs/>
          <w:sz w:val="20"/>
        </w:rPr>
      </w:pPr>
      <w:r w:rsidRPr="0068562A">
        <w:rPr>
          <w:rFonts w:ascii="Century Gothic" w:hAnsi="Century Gothic" w:cs="Arial"/>
          <w:bCs/>
          <w:sz w:val="20"/>
        </w:rPr>
        <w:t>The Defendant was adjudged a bankrupt on 31st October 2012 by the Kuala Lumpur High Court. On 22nd July 2013, the Plaintiff obtained leave from the Kuala Lumpur High Court to issue the proceedings against the Defendant.</w:t>
      </w:r>
    </w:p>
    <w:p w:rsidR="00674018" w:rsidRPr="0068562A" w:rsidRDefault="00674018" w:rsidP="00674018">
      <w:pPr>
        <w:pStyle w:val="BodyText"/>
        <w:ind w:left="1418"/>
        <w:rPr>
          <w:rFonts w:ascii="Century Gothic" w:hAnsi="Century Gothic" w:cs="Arial"/>
          <w:bCs/>
          <w:sz w:val="20"/>
        </w:rPr>
      </w:pPr>
    </w:p>
    <w:p w:rsidR="00674018" w:rsidRPr="0068562A" w:rsidRDefault="00674018" w:rsidP="00674018">
      <w:pPr>
        <w:pStyle w:val="BodyText"/>
        <w:ind w:left="1418"/>
        <w:rPr>
          <w:rFonts w:ascii="Century Gothic" w:hAnsi="Century Gothic" w:cs="Arial"/>
          <w:bCs/>
          <w:sz w:val="20"/>
        </w:rPr>
      </w:pPr>
      <w:r w:rsidRPr="0068562A">
        <w:rPr>
          <w:rFonts w:ascii="Century Gothic" w:hAnsi="Century Gothic" w:cs="Arial"/>
          <w:bCs/>
          <w:sz w:val="20"/>
        </w:rPr>
        <w:t>The Defendant caused or procured the Plaintiff to make payment of RM1.7 million to Technology Services Sdn. Bhd. (“TAG”), which sum was subsequently transferred to the Defendant and his nominee, Lim Poh Suan. The Plaintiff never purchased nor did TAG supplied the R&amp;D Equipment in respect of the purchase order was issued.</w:t>
      </w:r>
    </w:p>
    <w:p w:rsidR="00674018" w:rsidRPr="0068562A" w:rsidRDefault="00674018" w:rsidP="00674018">
      <w:pPr>
        <w:pStyle w:val="BodyText"/>
        <w:ind w:left="1418"/>
        <w:rPr>
          <w:rFonts w:ascii="Century Gothic" w:hAnsi="Century Gothic" w:cs="Arial"/>
          <w:bCs/>
          <w:sz w:val="20"/>
        </w:rPr>
      </w:pPr>
    </w:p>
    <w:p w:rsidR="00674018" w:rsidRPr="0068562A" w:rsidRDefault="00674018" w:rsidP="00674018">
      <w:pPr>
        <w:pStyle w:val="BodyText"/>
        <w:ind w:left="1418"/>
        <w:rPr>
          <w:rFonts w:ascii="Century Gothic" w:hAnsi="Century Gothic" w:cs="Arial"/>
          <w:bCs/>
          <w:sz w:val="20"/>
        </w:rPr>
      </w:pPr>
      <w:r w:rsidRPr="0068562A">
        <w:rPr>
          <w:rFonts w:ascii="Century Gothic" w:hAnsi="Century Gothic" w:cs="Arial"/>
          <w:bCs/>
          <w:sz w:val="20"/>
        </w:rPr>
        <w:t>The Plaintiff is seeking a claim of RM1.7 million, damages and/or equitable compensation and all court and legal related costs and the interest on the sums payable.</w:t>
      </w:r>
    </w:p>
    <w:p w:rsidR="00674018" w:rsidRPr="0068562A" w:rsidRDefault="00674018" w:rsidP="00674018">
      <w:pPr>
        <w:pStyle w:val="BodyText"/>
        <w:ind w:left="1418"/>
        <w:rPr>
          <w:rFonts w:ascii="Century Gothic" w:hAnsi="Century Gothic" w:cs="Arial"/>
          <w:bCs/>
          <w:sz w:val="20"/>
        </w:rPr>
      </w:pPr>
    </w:p>
    <w:p w:rsidR="00674018" w:rsidRPr="0068562A" w:rsidRDefault="00674018" w:rsidP="00674018">
      <w:pPr>
        <w:pStyle w:val="BodyText"/>
        <w:ind w:left="1418"/>
        <w:rPr>
          <w:rFonts w:ascii="Century Gothic" w:hAnsi="Century Gothic" w:cs="Arial"/>
          <w:bCs/>
          <w:sz w:val="20"/>
        </w:rPr>
      </w:pPr>
      <w:r w:rsidRPr="0068562A">
        <w:rPr>
          <w:rFonts w:ascii="Century Gothic" w:hAnsi="Century Gothic" w:cs="Arial"/>
          <w:bCs/>
          <w:sz w:val="20"/>
        </w:rPr>
        <w:t>The High Court had on 24th July 2015 allowed the Company’s claim of RM1.7 million against the Defendant and dismissed the Defendant’s counterclaim, with costs of RM170,000/- to the Company.</w:t>
      </w:r>
    </w:p>
    <w:p w:rsidR="00674018" w:rsidRPr="0068562A" w:rsidRDefault="00674018" w:rsidP="00674018">
      <w:pPr>
        <w:pStyle w:val="BodyText"/>
        <w:ind w:left="1418"/>
        <w:rPr>
          <w:rFonts w:ascii="Century Gothic" w:hAnsi="Century Gothic" w:cs="Arial"/>
          <w:bCs/>
          <w:sz w:val="20"/>
        </w:rPr>
      </w:pPr>
    </w:p>
    <w:p w:rsidR="00674018" w:rsidRDefault="00674018" w:rsidP="00674018">
      <w:pPr>
        <w:pStyle w:val="BodyText"/>
        <w:ind w:left="1418"/>
        <w:rPr>
          <w:rFonts w:ascii="Century Gothic" w:hAnsi="Century Gothic" w:cs="Arial"/>
          <w:bCs/>
          <w:sz w:val="20"/>
        </w:rPr>
      </w:pPr>
      <w:r w:rsidRPr="0068562A">
        <w:rPr>
          <w:rFonts w:ascii="Century Gothic" w:hAnsi="Century Gothic" w:cs="Arial"/>
          <w:bCs/>
          <w:sz w:val="20"/>
        </w:rPr>
        <w:t xml:space="preserve">On 20th August 2015, the Defendant had submitted a notice of appeal against the High Court’s decision. </w:t>
      </w:r>
    </w:p>
    <w:p w:rsidR="00674018" w:rsidRPr="0068562A" w:rsidRDefault="00674018" w:rsidP="00674018">
      <w:pPr>
        <w:pStyle w:val="BodyText"/>
        <w:ind w:left="1418"/>
        <w:rPr>
          <w:rFonts w:ascii="Century Gothic" w:hAnsi="Century Gothic" w:cs="Arial"/>
          <w:bCs/>
          <w:sz w:val="20"/>
        </w:rPr>
      </w:pPr>
    </w:p>
    <w:p w:rsidR="00674018" w:rsidRDefault="00674018" w:rsidP="00674018">
      <w:pPr>
        <w:pStyle w:val="BodyText"/>
        <w:ind w:left="1418"/>
        <w:rPr>
          <w:rFonts w:ascii="Century Gothic" w:hAnsi="Century Gothic" w:cs="Arial"/>
          <w:bCs/>
          <w:sz w:val="20"/>
        </w:rPr>
      </w:pPr>
      <w:r w:rsidRPr="0068562A">
        <w:rPr>
          <w:rFonts w:ascii="Century Gothic" w:hAnsi="Century Gothic" w:cs="Arial"/>
          <w:bCs/>
          <w:sz w:val="20"/>
        </w:rPr>
        <w:t>The appeal is fixed for case management on 11th December 2015.</w:t>
      </w:r>
    </w:p>
    <w:p w:rsidR="00674018" w:rsidRDefault="00674018" w:rsidP="00674018">
      <w:pPr>
        <w:pStyle w:val="BodyText"/>
        <w:ind w:left="1418"/>
        <w:rPr>
          <w:rFonts w:ascii="Century Gothic" w:hAnsi="Century Gothic" w:cs="Arial"/>
          <w:bCs/>
          <w:sz w:val="20"/>
        </w:rPr>
      </w:pPr>
    </w:p>
    <w:p w:rsidR="00674018" w:rsidRDefault="00674018" w:rsidP="00674018">
      <w:pPr>
        <w:pStyle w:val="BodyText"/>
        <w:ind w:left="1418"/>
        <w:rPr>
          <w:rFonts w:ascii="Century Gothic" w:hAnsi="Century Gothic" w:cs="Arial"/>
          <w:bCs/>
          <w:sz w:val="20"/>
        </w:rPr>
      </w:pPr>
    </w:p>
    <w:p w:rsidR="00674018" w:rsidRDefault="00674018" w:rsidP="00674018">
      <w:pPr>
        <w:pStyle w:val="BodyText"/>
        <w:ind w:left="1418"/>
        <w:rPr>
          <w:rFonts w:ascii="Century Gothic" w:hAnsi="Century Gothic" w:cs="Arial"/>
          <w:bCs/>
          <w:sz w:val="20"/>
        </w:rPr>
      </w:pPr>
    </w:p>
    <w:p w:rsidR="00674018" w:rsidRDefault="00674018" w:rsidP="00674018">
      <w:pPr>
        <w:pStyle w:val="BodyText"/>
        <w:ind w:left="1418"/>
        <w:rPr>
          <w:rFonts w:ascii="Century Gothic" w:hAnsi="Century Gothic" w:cs="Arial"/>
          <w:bCs/>
          <w:sz w:val="20"/>
        </w:rPr>
      </w:pPr>
    </w:p>
    <w:p w:rsidR="00674018" w:rsidRDefault="00674018" w:rsidP="00674018">
      <w:pPr>
        <w:pStyle w:val="BodyText"/>
        <w:ind w:left="1418"/>
        <w:rPr>
          <w:rFonts w:ascii="Century Gothic" w:hAnsi="Century Gothic" w:cs="Arial"/>
          <w:bCs/>
          <w:sz w:val="20"/>
        </w:rPr>
      </w:pPr>
    </w:p>
    <w:p w:rsidR="00674018" w:rsidRDefault="00674018" w:rsidP="00674018">
      <w:pPr>
        <w:pStyle w:val="BodyText"/>
        <w:ind w:left="1418"/>
        <w:rPr>
          <w:rFonts w:ascii="Century Gothic" w:hAnsi="Century Gothic" w:cs="Arial"/>
          <w:bCs/>
          <w:sz w:val="20"/>
        </w:rPr>
      </w:pPr>
    </w:p>
    <w:p w:rsidR="00674018" w:rsidRDefault="00674018" w:rsidP="00674018">
      <w:pPr>
        <w:pStyle w:val="BodyText"/>
        <w:ind w:left="1418"/>
        <w:rPr>
          <w:rFonts w:ascii="Century Gothic" w:hAnsi="Century Gothic" w:cs="Arial"/>
          <w:bCs/>
          <w:sz w:val="20"/>
        </w:rPr>
      </w:pPr>
    </w:p>
    <w:p w:rsidR="00674018" w:rsidRDefault="00674018" w:rsidP="00674018">
      <w:pPr>
        <w:pStyle w:val="BodyText"/>
        <w:ind w:left="1418"/>
        <w:rPr>
          <w:rFonts w:ascii="Century Gothic" w:hAnsi="Century Gothic" w:cs="Arial"/>
          <w:bCs/>
          <w:sz w:val="20"/>
        </w:rPr>
      </w:pPr>
    </w:p>
    <w:p w:rsidR="00674018" w:rsidRDefault="00674018" w:rsidP="00674018">
      <w:pPr>
        <w:pStyle w:val="BodyText"/>
        <w:ind w:left="1418"/>
        <w:rPr>
          <w:rFonts w:ascii="Century Gothic" w:hAnsi="Century Gothic" w:cs="Arial"/>
          <w:bCs/>
          <w:sz w:val="20"/>
        </w:rPr>
      </w:pPr>
    </w:p>
    <w:p w:rsidR="00674018" w:rsidRDefault="00674018" w:rsidP="00674018">
      <w:pPr>
        <w:pStyle w:val="BodyText"/>
        <w:ind w:left="1418"/>
        <w:rPr>
          <w:rFonts w:ascii="Century Gothic" w:hAnsi="Century Gothic" w:cs="Arial"/>
          <w:bCs/>
          <w:sz w:val="20"/>
        </w:rPr>
      </w:pPr>
    </w:p>
    <w:p w:rsidR="00674018" w:rsidRDefault="00674018" w:rsidP="00674018">
      <w:pPr>
        <w:pStyle w:val="BodyText"/>
        <w:ind w:left="1418"/>
        <w:rPr>
          <w:rFonts w:ascii="Century Gothic" w:hAnsi="Century Gothic" w:cs="Arial"/>
          <w:bCs/>
          <w:sz w:val="20"/>
        </w:rPr>
      </w:pPr>
    </w:p>
    <w:p w:rsidR="00674018" w:rsidRPr="00027258" w:rsidRDefault="00674018" w:rsidP="00674018">
      <w:pPr>
        <w:ind w:left="720" w:hanging="720"/>
        <w:jc w:val="both"/>
        <w:rPr>
          <w:rFonts w:ascii="Century Gothic" w:hAnsi="Century Gothic"/>
          <w:b/>
        </w:rPr>
      </w:pPr>
      <w:r w:rsidRPr="00027258">
        <w:rPr>
          <w:rFonts w:ascii="Century Gothic" w:hAnsi="Century Gothic"/>
          <w:b/>
        </w:rPr>
        <w:t>B</w:t>
      </w:r>
      <w:r w:rsidRPr="00027258">
        <w:rPr>
          <w:rFonts w:ascii="Century Gothic" w:hAnsi="Century Gothic"/>
          <w:b/>
        </w:rPr>
        <w:tab/>
        <w:t>EXPLANATORY NOTES PURSUANT TO APPENDIX 9B OF THE ACE MARKET LISTING REQUIREMENTS OF BURSA SECURITIES (CONT’D)</w:t>
      </w:r>
    </w:p>
    <w:p w:rsidR="00674018" w:rsidRPr="00027258" w:rsidRDefault="00674018" w:rsidP="00674018">
      <w:pPr>
        <w:pStyle w:val="BodyText"/>
        <w:ind w:left="1418"/>
        <w:rPr>
          <w:rFonts w:ascii="Century Gothic" w:hAnsi="Century Gothic" w:cs="Arial"/>
          <w:bCs/>
          <w:sz w:val="20"/>
        </w:rPr>
      </w:pPr>
    </w:p>
    <w:p w:rsidR="00674018" w:rsidRPr="00027258" w:rsidRDefault="00674018" w:rsidP="00674018">
      <w:pPr>
        <w:pStyle w:val="BodyText"/>
        <w:rPr>
          <w:rFonts w:ascii="Century Gothic" w:hAnsi="Century Gothic"/>
          <w:b/>
          <w:sz w:val="20"/>
        </w:rPr>
      </w:pPr>
      <w:r w:rsidRPr="00027258">
        <w:rPr>
          <w:rFonts w:ascii="Century Gothic" w:hAnsi="Century Gothic"/>
          <w:b/>
          <w:sz w:val="20"/>
        </w:rPr>
        <w:t>B8</w:t>
      </w:r>
      <w:r w:rsidRPr="00027258">
        <w:rPr>
          <w:rFonts w:ascii="Century Gothic" w:hAnsi="Century Gothic"/>
          <w:b/>
          <w:sz w:val="20"/>
        </w:rPr>
        <w:tab/>
        <w:t>Material Litigations (Cont’d)</w:t>
      </w:r>
    </w:p>
    <w:p w:rsidR="00674018" w:rsidRPr="0068562A" w:rsidRDefault="00674018" w:rsidP="00674018">
      <w:pPr>
        <w:pStyle w:val="BodyText"/>
        <w:ind w:left="1418"/>
        <w:rPr>
          <w:rFonts w:ascii="Century Gothic" w:hAnsi="Century Gothic" w:cs="Arial"/>
          <w:bCs/>
          <w:sz w:val="20"/>
        </w:rPr>
      </w:pPr>
    </w:p>
    <w:p w:rsidR="00674018" w:rsidRDefault="00674018" w:rsidP="00674018">
      <w:pPr>
        <w:pStyle w:val="BodyText"/>
        <w:rPr>
          <w:rFonts w:ascii="Century Gothic" w:hAnsi="Century Gothic" w:cs="Arial"/>
          <w:bCs/>
          <w:sz w:val="20"/>
        </w:rPr>
      </w:pPr>
    </w:p>
    <w:p w:rsidR="00674018" w:rsidRPr="00E2632B" w:rsidRDefault="00674018" w:rsidP="00674018">
      <w:pPr>
        <w:pStyle w:val="BodyText"/>
        <w:ind w:left="1418" w:hanging="698"/>
        <w:rPr>
          <w:rFonts w:ascii="Century Gothic" w:hAnsi="Century Gothic" w:cs="Arial"/>
          <w:b/>
          <w:bCs/>
          <w:sz w:val="20"/>
        </w:rPr>
      </w:pPr>
      <w:r w:rsidDel="00727673">
        <w:rPr>
          <w:rFonts w:ascii="Century Gothic" w:hAnsi="Century Gothic" w:cs="Arial"/>
          <w:bCs/>
          <w:sz w:val="20"/>
        </w:rPr>
        <w:t xml:space="preserve"> </w:t>
      </w:r>
      <w:r w:rsidRPr="0068562A">
        <w:rPr>
          <w:rFonts w:ascii="Century Gothic" w:hAnsi="Century Gothic" w:cs="Arial"/>
          <w:bCs/>
          <w:sz w:val="20"/>
        </w:rPr>
        <w:t>(</w:t>
      </w:r>
      <w:r>
        <w:rPr>
          <w:rFonts w:ascii="Century Gothic" w:hAnsi="Century Gothic" w:cs="Arial"/>
          <w:bCs/>
          <w:sz w:val="20"/>
        </w:rPr>
        <w:t>b</w:t>
      </w:r>
      <w:r w:rsidRPr="0068562A">
        <w:rPr>
          <w:rFonts w:ascii="Century Gothic" w:hAnsi="Century Gothic" w:cs="Arial"/>
          <w:bCs/>
          <w:sz w:val="20"/>
        </w:rPr>
        <w:t>)</w:t>
      </w:r>
      <w:r w:rsidRPr="0068562A">
        <w:rPr>
          <w:rFonts w:ascii="Century Gothic" w:hAnsi="Century Gothic" w:cs="Arial"/>
          <w:bCs/>
          <w:sz w:val="20"/>
        </w:rPr>
        <w:tab/>
      </w:r>
      <w:r w:rsidRPr="00E75F02">
        <w:rPr>
          <w:rFonts w:ascii="Century Gothic" w:hAnsi="Century Gothic" w:cs="Arial"/>
          <w:b/>
          <w:bCs/>
          <w:sz w:val="20"/>
          <w:u w:val="single"/>
        </w:rPr>
        <w:t>Industrial Court Case No. 19/4-643-11 between Dato’</w:t>
      </w:r>
      <w:r w:rsidRPr="00E2632B">
        <w:rPr>
          <w:rFonts w:ascii="Century Gothic" w:hAnsi="Century Gothic" w:cs="Arial"/>
          <w:b/>
          <w:bCs/>
          <w:sz w:val="20"/>
          <w:u w:val="single"/>
        </w:rPr>
        <w:t xml:space="preserve"> Aminuddin Baki @ Sabtu bin Esa (“The Claimant”) Vs. SCAN Associates Berhad (“The Company”)</w:t>
      </w:r>
    </w:p>
    <w:p w:rsidR="00674018" w:rsidRDefault="00674018" w:rsidP="00674018">
      <w:pPr>
        <w:pStyle w:val="BodyText"/>
        <w:ind w:left="1418"/>
        <w:rPr>
          <w:rFonts w:ascii="Century Gothic" w:hAnsi="Century Gothic" w:cs="Arial"/>
          <w:bCs/>
          <w:sz w:val="20"/>
        </w:rPr>
      </w:pPr>
    </w:p>
    <w:p w:rsidR="00674018" w:rsidRDefault="00674018" w:rsidP="00674018">
      <w:pPr>
        <w:pStyle w:val="BodyText"/>
        <w:ind w:left="1418"/>
        <w:rPr>
          <w:rFonts w:ascii="Century Gothic" w:hAnsi="Century Gothic" w:cs="Arial"/>
          <w:bCs/>
          <w:sz w:val="20"/>
        </w:rPr>
      </w:pPr>
      <w:r>
        <w:rPr>
          <w:rFonts w:ascii="Century Gothic" w:hAnsi="Century Gothic" w:cs="Arial"/>
          <w:bCs/>
          <w:sz w:val="20"/>
        </w:rPr>
        <w:t>The Claimant’s suit against the defendant is with regards to the dismissal of the claimant with effect from 9 January 2009, allegedly without just cause or excuse. The Claimant is seeking reinstatement to his former position as Chief Executive Officer of the Company.</w:t>
      </w:r>
    </w:p>
    <w:p w:rsidR="00674018" w:rsidRPr="0068562A" w:rsidRDefault="00674018" w:rsidP="00674018">
      <w:pPr>
        <w:pStyle w:val="BodyText"/>
        <w:ind w:left="1418"/>
        <w:rPr>
          <w:rFonts w:ascii="Century Gothic" w:hAnsi="Century Gothic" w:cs="Arial"/>
          <w:bCs/>
          <w:sz w:val="20"/>
        </w:rPr>
      </w:pPr>
      <w:r>
        <w:rPr>
          <w:rFonts w:ascii="Century Gothic" w:hAnsi="Century Gothic" w:cs="Arial"/>
          <w:bCs/>
          <w:sz w:val="20"/>
        </w:rPr>
        <w:t xml:space="preserve"> </w:t>
      </w:r>
    </w:p>
    <w:p w:rsidR="00674018" w:rsidRPr="0068562A" w:rsidRDefault="00674018" w:rsidP="00674018">
      <w:pPr>
        <w:pStyle w:val="BodyText"/>
        <w:ind w:left="1418"/>
        <w:rPr>
          <w:rFonts w:ascii="Century Gothic" w:hAnsi="Century Gothic" w:cs="Arial"/>
          <w:bCs/>
          <w:sz w:val="20"/>
        </w:rPr>
      </w:pPr>
      <w:r w:rsidRPr="0068562A">
        <w:rPr>
          <w:rFonts w:ascii="Century Gothic" w:hAnsi="Century Gothic" w:cs="Arial"/>
          <w:bCs/>
          <w:sz w:val="20"/>
        </w:rPr>
        <w:t>The Claimant and the Company had submitted their written submissions on 19th May 2014 and 4th September 2014 respectively. The Claimant had subsequently filed his written submission in reply on 8th January 2015.</w:t>
      </w:r>
    </w:p>
    <w:p w:rsidR="00674018" w:rsidRPr="0068562A" w:rsidRDefault="00674018" w:rsidP="00674018">
      <w:pPr>
        <w:pStyle w:val="BodyText"/>
        <w:ind w:left="1418"/>
        <w:rPr>
          <w:rFonts w:ascii="Century Gothic" w:hAnsi="Century Gothic" w:cs="Arial"/>
          <w:bCs/>
          <w:sz w:val="20"/>
        </w:rPr>
      </w:pPr>
    </w:p>
    <w:p w:rsidR="00674018" w:rsidRPr="0068562A" w:rsidRDefault="00674018" w:rsidP="00674018">
      <w:pPr>
        <w:pStyle w:val="BodyText"/>
        <w:ind w:left="1418"/>
        <w:rPr>
          <w:rFonts w:ascii="Century Gothic" w:hAnsi="Century Gothic" w:cs="Arial"/>
          <w:bCs/>
          <w:sz w:val="20"/>
        </w:rPr>
      </w:pPr>
      <w:r w:rsidRPr="0068562A">
        <w:rPr>
          <w:rFonts w:ascii="Century Gothic" w:hAnsi="Century Gothic" w:cs="Arial"/>
          <w:bCs/>
          <w:sz w:val="20"/>
        </w:rPr>
        <w:t>The suit is pending a decision by the Court.</w:t>
      </w:r>
    </w:p>
    <w:p w:rsidR="00674018" w:rsidRPr="0068562A" w:rsidRDefault="00674018" w:rsidP="00674018">
      <w:pPr>
        <w:pStyle w:val="BodyText"/>
        <w:ind w:left="1418"/>
        <w:rPr>
          <w:rFonts w:ascii="Century Gothic" w:hAnsi="Century Gothic" w:cs="Arial"/>
          <w:bCs/>
          <w:sz w:val="20"/>
        </w:rPr>
      </w:pPr>
    </w:p>
    <w:p w:rsidR="00674018" w:rsidRPr="0068562A" w:rsidRDefault="00674018" w:rsidP="00674018">
      <w:pPr>
        <w:pStyle w:val="BodyText"/>
        <w:ind w:left="1418" w:hanging="698"/>
        <w:rPr>
          <w:rFonts w:ascii="Century Gothic" w:hAnsi="Century Gothic" w:cs="Arial"/>
          <w:bCs/>
          <w:sz w:val="20"/>
        </w:rPr>
      </w:pPr>
      <w:r w:rsidRPr="0068562A">
        <w:rPr>
          <w:rFonts w:ascii="Century Gothic" w:hAnsi="Century Gothic" w:cs="Arial"/>
          <w:bCs/>
          <w:sz w:val="20"/>
        </w:rPr>
        <w:t>(</w:t>
      </w:r>
      <w:r>
        <w:rPr>
          <w:rFonts w:ascii="Century Gothic" w:hAnsi="Century Gothic" w:cs="Arial"/>
          <w:bCs/>
          <w:sz w:val="20"/>
        </w:rPr>
        <w:t>c</w:t>
      </w:r>
      <w:r w:rsidRPr="0068562A">
        <w:rPr>
          <w:rFonts w:ascii="Century Gothic" w:hAnsi="Century Gothic" w:cs="Arial"/>
          <w:bCs/>
          <w:sz w:val="20"/>
        </w:rPr>
        <w:t>)</w:t>
      </w:r>
      <w:r w:rsidRPr="0068562A">
        <w:rPr>
          <w:rFonts w:ascii="Century Gothic" w:hAnsi="Century Gothic" w:cs="Arial"/>
          <w:bCs/>
          <w:sz w:val="20"/>
        </w:rPr>
        <w:tab/>
      </w:r>
      <w:r w:rsidRPr="00E75F02">
        <w:rPr>
          <w:rFonts w:ascii="Century Gothic" w:hAnsi="Century Gothic" w:cs="Arial"/>
          <w:b/>
          <w:bCs/>
          <w:sz w:val="20"/>
          <w:u w:val="single"/>
        </w:rPr>
        <w:t>KL Sessions Court Summons No. A52NCVC-169-03/2015 between</w:t>
      </w:r>
      <w:r w:rsidRPr="00E75F02">
        <w:rPr>
          <w:rFonts w:ascii="Century Gothic" w:hAnsi="Century Gothic" w:cs="Arial"/>
          <w:bCs/>
          <w:sz w:val="20"/>
          <w:u w:val="single"/>
        </w:rPr>
        <w:t xml:space="preserve"> </w:t>
      </w:r>
      <w:r w:rsidRPr="00E75F02">
        <w:rPr>
          <w:rFonts w:ascii="Century Gothic" w:hAnsi="Century Gothic" w:cs="Arial"/>
          <w:b/>
          <w:bCs/>
          <w:sz w:val="20"/>
          <w:u w:val="single"/>
        </w:rPr>
        <w:t>Unique</w:t>
      </w:r>
      <w:r w:rsidRPr="00DE4708">
        <w:rPr>
          <w:rFonts w:ascii="Century Gothic" w:hAnsi="Century Gothic" w:cs="Arial"/>
          <w:b/>
          <w:bCs/>
          <w:sz w:val="20"/>
          <w:u w:val="single"/>
        </w:rPr>
        <w:t xml:space="preserve"> Central Sdn. Bhd. (“The Plaintiff”) Vs. SCAN Associates Berhad (“The Defendant”)</w:t>
      </w:r>
    </w:p>
    <w:p w:rsidR="00674018" w:rsidRPr="0068562A" w:rsidRDefault="00674018" w:rsidP="00674018">
      <w:pPr>
        <w:pStyle w:val="BodyText"/>
        <w:ind w:left="1418"/>
        <w:rPr>
          <w:rFonts w:ascii="Century Gothic" w:hAnsi="Century Gothic" w:cs="Arial"/>
          <w:bCs/>
          <w:sz w:val="20"/>
        </w:rPr>
      </w:pPr>
    </w:p>
    <w:p w:rsidR="00674018" w:rsidRPr="0068562A" w:rsidRDefault="00674018" w:rsidP="00674018">
      <w:pPr>
        <w:pStyle w:val="BodyText"/>
        <w:ind w:left="1418"/>
        <w:rPr>
          <w:rFonts w:ascii="Century Gothic" w:hAnsi="Century Gothic" w:cs="Arial"/>
          <w:bCs/>
          <w:sz w:val="20"/>
        </w:rPr>
      </w:pPr>
      <w:r w:rsidRPr="0068562A">
        <w:rPr>
          <w:rFonts w:ascii="Century Gothic" w:hAnsi="Century Gothic" w:cs="Arial"/>
          <w:bCs/>
          <w:sz w:val="20"/>
        </w:rPr>
        <w:t>On 29th April 2015, the Plaintiff obtained a Judgement in Default of Appearance against the Defendant for an amount of RM112,187/- plus interest at 1.5% a month until full settlement and cost on a solicitor client basis.</w:t>
      </w:r>
    </w:p>
    <w:p w:rsidR="00674018" w:rsidRPr="0068562A" w:rsidRDefault="00674018" w:rsidP="00674018">
      <w:pPr>
        <w:pStyle w:val="BodyText"/>
        <w:ind w:left="1418"/>
        <w:rPr>
          <w:rFonts w:ascii="Century Gothic" w:hAnsi="Century Gothic" w:cs="Arial"/>
          <w:bCs/>
          <w:sz w:val="20"/>
        </w:rPr>
      </w:pPr>
    </w:p>
    <w:p w:rsidR="00674018" w:rsidRPr="0068562A" w:rsidRDefault="00674018" w:rsidP="00674018">
      <w:pPr>
        <w:pStyle w:val="BodyText"/>
        <w:ind w:left="1418"/>
        <w:rPr>
          <w:rFonts w:ascii="Century Gothic" w:hAnsi="Century Gothic" w:cs="Arial"/>
          <w:bCs/>
          <w:sz w:val="20"/>
        </w:rPr>
      </w:pPr>
      <w:r w:rsidRPr="0068562A">
        <w:rPr>
          <w:rFonts w:ascii="Century Gothic" w:hAnsi="Century Gothic" w:cs="Arial"/>
          <w:bCs/>
          <w:sz w:val="20"/>
        </w:rPr>
        <w:t xml:space="preserve">An amount of RM105,616/- has been provided in the accounts of the Company as at 30th </w:t>
      </w:r>
      <w:r>
        <w:rPr>
          <w:rFonts w:ascii="Century Gothic" w:hAnsi="Century Gothic" w:cs="Arial"/>
          <w:bCs/>
          <w:sz w:val="20"/>
        </w:rPr>
        <w:t xml:space="preserve">September </w:t>
      </w:r>
      <w:r w:rsidRPr="0068562A">
        <w:rPr>
          <w:rFonts w:ascii="Century Gothic" w:hAnsi="Century Gothic" w:cs="Arial"/>
          <w:bCs/>
          <w:sz w:val="20"/>
        </w:rPr>
        <w:t>2015.</w:t>
      </w:r>
    </w:p>
    <w:p w:rsidR="00674018" w:rsidRPr="0068562A" w:rsidRDefault="00674018" w:rsidP="00674018">
      <w:pPr>
        <w:pStyle w:val="BodyText"/>
        <w:ind w:left="1418"/>
        <w:rPr>
          <w:rFonts w:ascii="Century Gothic" w:hAnsi="Century Gothic" w:cs="Arial"/>
          <w:bCs/>
          <w:sz w:val="20"/>
        </w:rPr>
      </w:pPr>
    </w:p>
    <w:p w:rsidR="00674018" w:rsidRPr="00DE4708" w:rsidRDefault="00674018" w:rsidP="00674018">
      <w:pPr>
        <w:pStyle w:val="BodyText"/>
        <w:ind w:left="1418" w:hanging="698"/>
        <w:rPr>
          <w:rFonts w:ascii="Century Gothic" w:hAnsi="Century Gothic" w:cs="Arial"/>
          <w:b/>
          <w:bCs/>
          <w:sz w:val="20"/>
          <w:u w:val="single"/>
        </w:rPr>
      </w:pPr>
      <w:r w:rsidRPr="0068562A">
        <w:rPr>
          <w:rFonts w:ascii="Century Gothic" w:hAnsi="Century Gothic" w:cs="Arial"/>
          <w:bCs/>
          <w:sz w:val="20"/>
        </w:rPr>
        <w:t>(</w:t>
      </w:r>
      <w:r>
        <w:rPr>
          <w:rFonts w:ascii="Century Gothic" w:hAnsi="Century Gothic" w:cs="Arial"/>
          <w:bCs/>
          <w:sz w:val="20"/>
        </w:rPr>
        <w:t>d</w:t>
      </w:r>
      <w:r w:rsidRPr="0068562A">
        <w:rPr>
          <w:rFonts w:ascii="Century Gothic" w:hAnsi="Century Gothic" w:cs="Arial"/>
          <w:bCs/>
          <w:sz w:val="20"/>
        </w:rPr>
        <w:t>)</w:t>
      </w:r>
      <w:r w:rsidRPr="0068562A">
        <w:rPr>
          <w:rFonts w:ascii="Century Gothic" w:hAnsi="Century Gothic" w:cs="Arial"/>
          <w:bCs/>
          <w:sz w:val="20"/>
        </w:rPr>
        <w:tab/>
      </w:r>
      <w:r w:rsidRPr="00333DD6">
        <w:rPr>
          <w:rFonts w:ascii="Century Gothic" w:hAnsi="Century Gothic" w:cs="Arial"/>
          <w:b/>
          <w:bCs/>
          <w:sz w:val="20"/>
          <w:u w:val="single"/>
        </w:rPr>
        <w:t>KL Magistrates Court Suit No. A72NCVC-1594-04/2015 between</w:t>
      </w:r>
      <w:r w:rsidRPr="00333DD6">
        <w:rPr>
          <w:rFonts w:ascii="Century Gothic" w:hAnsi="Century Gothic" w:cs="Arial"/>
          <w:bCs/>
          <w:sz w:val="20"/>
          <w:u w:val="single"/>
        </w:rPr>
        <w:t xml:space="preserve"> </w:t>
      </w:r>
      <w:r w:rsidRPr="00333DD6">
        <w:rPr>
          <w:rFonts w:ascii="Century Gothic" w:hAnsi="Century Gothic" w:cs="Arial"/>
          <w:b/>
          <w:bCs/>
          <w:sz w:val="20"/>
          <w:u w:val="single"/>
        </w:rPr>
        <w:t>Convergence</w:t>
      </w:r>
      <w:r w:rsidRPr="00DE4708">
        <w:rPr>
          <w:rFonts w:ascii="Century Gothic" w:hAnsi="Century Gothic" w:cs="Arial"/>
          <w:b/>
          <w:bCs/>
          <w:sz w:val="20"/>
          <w:u w:val="single"/>
        </w:rPr>
        <w:t xml:space="preserve"> Networks Sdn. Bhd. (“The Plaintiff”) Vs. SCAN Associates Berhad (“The Defendant”)</w:t>
      </w:r>
    </w:p>
    <w:p w:rsidR="00674018" w:rsidRPr="0068562A" w:rsidRDefault="00674018" w:rsidP="00674018">
      <w:pPr>
        <w:pStyle w:val="BodyText"/>
        <w:ind w:left="1418"/>
        <w:rPr>
          <w:rFonts w:ascii="Century Gothic" w:hAnsi="Century Gothic" w:cs="Arial"/>
          <w:bCs/>
          <w:sz w:val="20"/>
        </w:rPr>
      </w:pPr>
    </w:p>
    <w:p w:rsidR="00674018" w:rsidRPr="0068562A" w:rsidRDefault="00674018" w:rsidP="00674018">
      <w:pPr>
        <w:pStyle w:val="BodyText"/>
        <w:ind w:left="1418"/>
        <w:rPr>
          <w:rFonts w:ascii="Century Gothic" w:hAnsi="Century Gothic" w:cs="Arial"/>
          <w:bCs/>
          <w:sz w:val="20"/>
        </w:rPr>
      </w:pPr>
      <w:r w:rsidRPr="0068562A">
        <w:rPr>
          <w:rFonts w:ascii="Century Gothic" w:hAnsi="Century Gothic" w:cs="Arial"/>
          <w:bCs/>
          <w:sz w:val="20"/>
        </w:rPr>
        <w:t>On 30th April 2015, the Plaintiff obtained a Judgement in Default of Appearance against the Defendant for an amount of RM39,311/- plus interest at 1.5% a month until full settlement and costs of RM782/-.</w:t>
      </w:r>
    </w:p>
    <w:p w:rsidR="00674018" w:rsidRDefault="00674018" w:rsidP="00674018">
      <w:pPr>
        <w:pStyle w:val="BodyText"/>
        <w:rPr>
          <w:rFonts w:ascii="Century Gothic" w:hAnsi="Century Gothic" w:cs="Arial"/>
          <w:bCs/>
          <w:sz w:val="20"/>
        </w:rPr>
      </w:pPr>
    </w:p>
    <w:p w:rsidR="00674018" w:rsidRPr="00674018" w:rsidRDefault="00674018" w:rsidP="00674018">
      <w:pPr>
        <w:pStyle w:val="BodyText"/>
        <w:ind w:left="1418" w:firstLine="22"/>
        <w:rPr>
          <w:rFonts w:ascii="Century Gothic" w:hAnsi="Century Gothic" w:cs="Arial"/>
          <w:bCs/>
          <w:sz w:val="20"/>
        </w:rPr>
      </w:pPr>
      <w:r w:rsidRPr="00674018">
        <w:rPr>
          <w:rFonts w:ascii="Century Gothic" w:hAnsi="Century Gothic" w:cs="Arial"/>
          <w:bCs/>
          <w:sz w:val="20"/>
        </w:rPr>
        <w:t>On 2 September 2015, RM8,389.11 was paid via the garnishee order. Therefore, the balance outstanding as at 30</w:t>
      </w:r>
      <w:r w:rsidRPr="00674018">
        <w:rPr>
          <w:rFonts w:ascii="Century Gothic" w:hAnsi="Century Gothic" w:cs="Arial"/>
          <w:bCs/>
          <w:sz w:val="20"/>
          <w:vertAlign w:val="superscript"/>
        </w:rPr>
        <w:t>th</w:t>
      </w:r>
      <w:r w:rsidRPr="00674018">
        <w:rPr>
          <w:rFonts w:ascii="Century Gothic" w:hAnsi="Century Gothic" w:cs="Arial"/>
          <w:bCs/>
          <w:sz w:val="20"/>
        </w:rPr>
        <w:t xml:space="preserve"> September 2015 is RM30,922.</w:t>
      </w:r>
    </w:p>
    <w:p w:rsidR="00674018" w:rsidRPr="00674018" w:rsidRDefault="00674018" w:rsidP="00674018">
      <w:pPr>
        <w:pStyle w:val="BodyText"/>
        <w:rPr>
          <w:rFonts w:ascii="Century Gothic" w:hAnsi="Century Gothic" w:cs="Arial"/>
          <w:bCs/>
          <w:sz w:val="20"/>
        </w:rPr>
      </w:pPr>
    </w:p>
    <w:p w:rsidR="00674018" w:rsidRPr="00674018" w:rsidRDefault="00674018" w:rsidP="00674018">
      <w:pPr>
        <w:pStyle w:val="BodyText"/>
        <w:ind w:left="1418"/>
        <w:rPr>
          <w:rFonts w:ascii="Century Gothic" w:hAnsi="Century Gothic" w:cs="Arial"/>
          <w:bCs/>
          <w:sz w:val="20"/>
        </w:rPr>
      </w:pPr>
      <w:r w:rsidRPr="00674018">
        <w:rPr>
          <w:rFonts w:ascii="Century Gothic" w:hAnsi="Century Gothic" w:cs="Arial"/>
          <w:bCs/>
          <w:sz w:val="20"/>
        </w:rPr>
        <w:t>An amount of RM29,601/- has been provided in the accounts of the Company as at 30th September 2015.</w:t>
      </w:r>
    </w:p>
    <w:p w:rsidR="00674018" w:rsidRDefault="00674018" w:rsidP="00674018">
      <w:pPr>
        <w:pStyle w:val="BodyText"/>
        <w:rPr>
          <w:rFonts w:ascii="Century Gothic" w:hAnsi="Century Gothic" w:cs="Arial"/>
          <w:bCs/>
          <w:sz w:val="20"/>
        </w:rPr>
      </w:pPr>
    </w:p>
    <w:p w:rsidR="00674018" w:rsidRDefault="00674018" w:rsidP="00674018">
      <w:pPr>
        <w:pStyle w:val="BodyText"/>
        <w:ind w:left="1418"/>
        <w:rPr>
          <w:rFonts w:ascii="Century Gothic" w:hAnsi="Century Gothic" w:cs="Arial"/>
          <w:bCs/>
          <w:sz w:val="20"/>
        </w:rPr>
      </w:pPr>
    </w:p>
    <w:p w:rsidR="00674018" w:rsidRPr="00DE4708" w:rsidRDefault="00674018" w:rsidP="00674018">
      <w:pPr>
        <w:pStyle w:val="BodyText"/>
        <w:ind w:firstLine="720"/>
        <w:rPr>
          <w:rFonts w:ascii="Century Gothic" w:hAnsi="Century Gothic" w:cs="Arial"/>
          <w:b/>
          <w:bCs/>
          <w:sz w:val="20"/>
          <w:u w:val="single"/>
        </w:rPr>
      </w:pPr>
      <w:r w:rsidRPr="0068562A">
        <w:rPr>
          <w:rFonts w:ascii="Century Gothic" w:hAnsi="Century Gothic" w:cs="Arial"/>
          <w:bCs/>
          <w:sz w:val="20"/>
        </w:rPr>
        <w:t>(</w:t>
      </w:r>
      <w:r>
        <w:rPr>
          <w:rFonts w:ascii="Century Gothic" w:hAnsi="Century Gothic" w:cs="Arial"/>
          <w:bCs/>
          <w:sz w:val="20"/>
        </w:rPr>
        <w:t>e</w:t>
      </w:r>
      <w:r w:rsidRPr="0068562A">
        <w:rPr>
          <w:rFonts w:ascii="Century Gothic" w:hAnsi="Century Gothic" w:cs="Arial"/>
          <w:bCs/>
          <w:sz w:val="20"/>
        </w:rPr>
        <w:t>)</w:t>
      </w:r>
      <w:r w:rsidRPr="0068562A">
        <w:rPr>
          <w:rFonts w:ascii="Century Gothic" w:hAnsi="Century Gothic" w:cs="Arial"/>
          <w:bCs/>
          <w:sz w:val="20"/>
        </w:rPr>
        <w:tab/>
      </w:r>
      <w:r w:rsidRPr="00DE4708">
        <w:rPr>
          <w:rFonts w:ascii="Century Gothic" w:hAnsi="Century Gothic" w:cs="Arial"/>
          <w:b/>
          <w:bCs/>
          <w:sz w:val="20"/>
          <w:u w:val="single"/>
        </w:rPr>
        <w:t>Letter</w:t>
      </w:r>
      <w:r>
        <w:rPr>
          <w:rFonts w:ascii="Century Gothic" w:hAnsi="Century Gothic" w:cs="Arial"/>
          <w:b/>
          <w:bCs/>
          <w:sz w:val="20"/>
          <w:u w:val="single"/>
        </w:rPr>
        <w:t>s</w:t>
      </w:r>
      <w:r w:rsidRPr="00DE4708">
        <w:rPr>
          <w:rFonts w:ascii="Century Gothic" w:hAnsi="Century Gothic" w:cs="Arial"/>
          <w:b/>
          <w:bCs/>
          <w:sz w:val="20"/>
          <w:u w:val="single"/>
        </w:rPr>
        <w:t xml:space="preserve"> of Demand from Creditors</w:t>
      </w:r>
    </w:p>
    <w:p w:rsidR="00674018" w:rsidRPr="0068562A" w:rsidRDefault="00674018" w:rsidP="00674018">
      <w:pPr>
        <w:pStyle w:val="BodyText"/>
        <w:ind w:left="1418"/>
        <w:rPr>
          <w:rFonts w:ascii="Century Gothic" w:hAnsi="Century Gothic" w:cs="Arial"/>
          <w:bCs/>
          <w:sz w:val="20"/>
        </w:rPr>
      </w:pPr>
    </w:p>
    <w:p w:rsidR="00674018" w:rsidRPr="0068562A" w:rsidRDefault="00674018" w:rsidP="00674018">
      <w:pPr>
        <w:pStyle w:val="BodyText"/>
        <w:ind w:left="1418"/>
        <w:rPr>
          <w:rFonts w:ascii="Century Gothic" w:hAnsi="Century Gothic" w:cs="Arial"/>
          <w:bCs/>
          <w:sz w:val="20"/>
        </w:rPr>
      </w:pPr>
      <w:r w:rsidRPr="0068562A">
        <w:rPr>
          <w:rFonts w:ascii="Century Gothic" w:hAnsi="Century Gothic" w:cs="Arial"/>
          <w:bCs/>
          <w:sz w:val="20"/>
        </w:rPr>
        <w:t xml:space="preserve">As at </w:t>
      </w:r>
      <w:r>
        <w:rPr>
          <w:rFonts w:ascii="Century Gothic" w:hAnsi="Century Gothic" w:cs="Arial"/>
          <w:bCs/>
          <w:sz w:val="20"/>
        </w:rPr>
        <w:t>30</w:t>
      </w:r>
      <w:r w:rsidRPr="0068562A">
        <w:rPr>
          <w:rFonts w:ascii="Century Gothic" w:hAnsi="Century Gothic" w:cs="Arial"/>
          <w:bCs/>
          <w:sz w:val="20"/>
        </w:rPr>
        <w:t xml:space="preserve">th </w:t>
      </w:r>
      <w:r>
        <w:rPr>
          <w:rFonts w:ascii="Century Gothic" w:hAnsi="Century Gothic" w:cs="Arial"/>
          <w:bCs/>
          <w:sz w:val="20"/>
        </w:rPr>
        <w:t>November</w:t>
      </w:r>
      <w:r w:rsidRPr="0068562A">
        <w:rPr>
          <w:rFonts w:ascii="Century Gothic" w:hAnsi="Century Gothic" w:cs="Arial"/>
          <w:bCs/>
          <w:sz w:val="20"/>
        </w:rPr>
        <w:t xml:space="preserve"> 2015, the Company has received letters of demand from certain creditors demanding payments totalling RM4.</w:t>
      </w:r>
      <w:r>
        <w:rPr>
          <w:rFonts w:ascii="Century Gothic" w:hAnsi="Century Gothic" w:cs="Arial"/>
          <w:bCs/>
          <w:sz w:val="20"/>
        </w:rPr>
        <w:t xml:space="preserve">580 </w:t>
      </w:r>
      <w:r w:rsidRPr="0068562A">
        <w:rPr>
          <w:rFonts w:ascii="Century Gothic" w:hAnsi="Century Gothic" w:cs="Arial"/>
          <w:bCs/>
          <w:sz w:val="20"/>
        </w:rPr>
        <w:t>million of which RM3.</w:t>
      </w:r>
      <w:r>
        <w:rPr>
          <w:rFonts w:ascii="Century Gothic" w:hAnsi="Century Gothic" w:cs="Arial"/>
          <w:bCs/>
          <w:sz w:val="20"/>
        </w:rPr>
        <w:t xml:space="preserve">466 </w:t>
      </w:r>
      <w:r w:rsidRPr="0068562A">
        <w:rPr>
          <w:rFonts w:ascii="Century Gothic" w:hAnsi="Century Gothic" w:cs="Arial"/>
          <w:bCs/>
          <w:sz w:val="20"/>
        </w:rPr>
        <w:t xml:space="preserve">million has already been </w:t>
      </w:r>
      <w:r>
        <w:rPr>
          <w:rFonts w:ascii="Century Gothic" w:hAnsi="Century Gothic" w:cs="Arial"/>
          <w:bCs/>
          <w:sz w:val="20"/>
        </w:rPr>
        <w:t xml:space="preserve">provided </w:t>
      </w:r>
      <w:r w:rsidRPr="0068562A">
        <w:rPr>
          <w:rFonts w:ascii="Century Gothic" w:hAnsi="Century Gothic" w:cs="Arial"/>
          <w:bCs/>
          <w:sz w:val="20"/>
        </w:rPr>
        <w:t xml:space="preserve">in the accounts as at 30th </w:t>
      </w:r>
      <w:r>
        <w:rPr>
          <w:rFonts w:ascii="Century Gothic" w:hAnsi="Century Gothic" w:cs="Arial"/>
          <w:bCs/>
          <w:sz w:val="20"/>
        </w:rPr>
        <w:t>September</w:t>
      </w:r>
      <w:r w:rsidRPr="0068562A">
        <w:rPr>
          <w:rFonts w:ascii="Century Gothic" w:hAnsi="Century Gothic" w:cs="Arial"/>
          <w:bCs/>
          <w:sz w:val="20"/>
        </w:rPr>
        <w:t xml:space="preserve"> 2015.</w:t>
      </w:r>
    </w:p>
    <w:p w:rsidR="00674018" w:rsidRPr="0068562A" w:rsidRDefault="00674018" w:rsidP="00674018">
      <w:pPr>
        <w:pStyle w:val="BodyText"/>
        <w:ind w:left="1418"/>
        <w:rPr>
          <w:rFonts w:ascii="Century Gothic" w:hAnsi="Century Gothic" w:cs="Arial"/>
          <w:bCs/>
          <w:sz w:val="20"/>
        </w:rPr>
      </w:pPr>
    </w:p>
    <w:p w:rsidR="00674018" w:rsidRDefault="00674018" w:rsidP="00674018">
      <w:pPr>
        <w:pStyle w:val="BodyText"/>
        <w:ind w:left="1418"/>
        <w:rPr>
          <w:rFonts w:ascii="Century Gothic" w:hAnsi="Century Gothic" w:cs="Arial"/>
          <w:bCs/>
          <w:sz w:val="20"/>
        </w:rPr>
      </w:pPr>
      <w:r w:rsidRPr="0068562A">
        <w:rPr>
          <w:rFonts w:ascii="Century Gothic" w:hAnsi="Century Gothic" w:cs="Arial"/>
          <w:bCs/>
          <w:sz w:val="20"/>
        </w:rPr>
        <w:t>The Company is in the midst of verifying the difference of RM1.1</w:t>
      </w:r>
      <w:r>
        <w:rPr>
          <w:rFonts w:ascii="Century Gothic" w:hAnsi="Century Gothic" w:cs="Arial"/>
          <w:bCs/>
          <w:sz w:val="20"/>
        </w:rPr>
        <w:t>14</w:t>
      </w:r>
      <w:r w:rsidRPr="0068562A">
        <w:rPr>
          <w:rFonts w:ascii="Century Gothic" w:hAnsi="Century Gothic" w:cs="Arial"/>
          <w:bCs/>
          <w:sz w:val="20"/>
        </w:rPr>
        <w:t xml:space="preserve"> million between the amounts demanded and the amounts provided and will negotiate with the respective creditors for an amicable solution if their demands are determined to be valid.</w:t>
      </w:r>
    </w:p>
    <w:p w:rsidR="00027258" w:rsidRDefault="00027258" w:rsidP="00674018">
      <w:pPr>
        <w:pStyle w:val="BodyText"/>
        <w:ind w:left="1418"/>
        <w:rPr>
          <w:rFonts w:ascii="Century Gothic" w:hAnsi="Century Gothic" w:cs="Arial"/>
          <w:bCs/>
          <w:sz w:val="20"/>
        </w:rPr>
      </w:pPr>
    </w:p>
    <w:p w:rsidR="00027258" w:rsidRDefault="00027258" w:rsidP="00674018">
      <w:pPr>
        <w:pStyle w:val="BodyText"/>
        <w:ind w:left="1418"/>
        <w:rPr>
          <w:rFonts w:ascii="Century Gothic" w:hAnsi="Century Gothic" w:cs="Arial"/>
          <w:bCs/>
          <w:sz w:val="20"/>
        </w:rPr>
      </w:pPr>
    </w:p>
    <w:p w:rsidR="00027258" w:rsidRDefault="00027258" w:rsidP="00674018">
      <w:pPr>
        <w:pStyle w:val="BodyText"/>
        <w:ind w:left="1418"/>
        <w:rPr>
          <w:rFonts w:ascii="Century Gothic" w:hAnsi="Century Gothic" w:cs="Arial"/>
          <w:bCs/>
          <w:sz w:val="20"/>
        </w:rPr>
      </w:pPr>
    </w:p>
    <w:p w:rsidR="00027258" w:rsidRDefault="00027258" w:rsidP="00674018">
      <w:pPr>
        <w:pStyle w:val="BodyText"/>
        <w:ind w:left="1418"/>
        <w:rPr>
          <w:rFonts w:ascii="Century Gothic" w:hAnsi="Century Gothic" w:cs="Arial"/>
          <w:bCs/>
          <w:sz w:val="20"/>
        </w:rPr>
      </w:pPr>
    </w:p>
    <w:p w:rsidR="00027258" w:rsidRDefault="00027258" w:rsidP="00674018">
      <w:pPr>
        <w:pStyle w:val="BodyText"/>
        <w:ind w:left="1418"/>
        <w:rPr>
          <w:rFonts w:ascii="Century Gothic" w:hAnsi="Century Gothic" w:cs="Arial"/>
          <w:bCs/>
          <w:sz w:val="20"/>
        </w:rPr>
      </w:pPr>
    </w:p>
    <w:p w:rsidR="00027258" w:rsidRPr="00027258" w:rsidRDefault="00027258" w:rsidP="00027258">
      <w:pPr>
        <w:ind w:left="720" w:hanging="720"/>
        <w:jc w:val="both"/>
        <w:rPr>
          <w:rFonts w:ascii="Century Gothic" w:hAnsi="Century Gothic"/>
          <w:b/>
        </w:rPr>
      </w:pPr>
      <w:r w:rsidRPr="00027258">
        <w:rPr>
          <w:rFonts w:ascii="Century Gothic" w:hAnsi="Century Gothic"/>
          <w:b/>
        </w:rPr>
        <w:t>B</w:t>
      </w:r>
      <w:r w:rsidRPr="00027258">
        <w:rPr>
          <w:rFonts w:ascii="Century Gothic" w:hAnsi="Century Gothic"/>
          <w:b/>
        </w:rPr>
        <w:tab/>
        <w:t>EXPLANATORY NOTES PURSUANT TO APPENDIX 9B OF THE ACE MARKET LISTING REQUIREMENTS OF BURSA SECURITIES (CONT’D)</w:t>
      </w:r>
    </w:p>
    <w:p w:rsidR="00027258" w:rsidRPr="00027258" w:rsidRDefault="00027258" w:rsidP="00027258">
      <w:pPr>
        <w:pStyle w:val="BodyText"/>
        <w:ind w:left="1418"/>
        <w:rPr>
          <w:rFonts w:ascii="Century Gothic" w:hAnsi="Century Gothic" w:cs="Arial"/>
          <w:bCs/>
          <w:sz w:val="20"/>
        </w:rPr>
      </w:pPr>
    </w:p>
    <w:p w:rsidR="00027258" w:rsidRPr="00027258" w:rsidRDefault="00027258" w:rsidP="00027258">
      <w:pPr>
        <w:pStyle w:val="BodyText"/>
        <w:rPr>
          <w:rFonts w:ascii="Century Gothic" w:hAnsi="Century Gothic"/>
          <w:b/>
          <w:sz w:val="20"/>
        </w:rPr>
      </w:pPr>
      <w:r w:rsidRPr="00027258">
        <w:rPr>
          <w:rFonts w:ascii="Century Gothic" w:hAnsi="Century Gothic"/>
          <w:b/>
          <w:sz w:val="20"/>
        </w:rPr>
        <w:t>B8</w:t>
      </w:r>
      <w:r w:rsidRPr="00027258">
        <w:rPr>
          <w:rFonts w:ascii="Century Gothic" w:hAnsi="Century Gothic"/>
          <w:b/>
          <w:sz w:val="20"/>
        </w:rPr>
        <w:tab/>
        <w:t>Material Litigations (Cont’d)</w:t>
      </w:r>
    </w:p>
    <w:p w:rsidR="00674018" w:rsidRDefault="00674018" w:rsidP="00674018">
      <w:pPr>
        <w:pStyle w:val="BodyText"/>
        <w:rPr>
          <w:rFonts w:ascii="Century Gothic" w:hAnsi="Century Gothic" w:cs="Arial"/>
          <w:bCs/>
          <w:sz w:val="20"/>
        </w:rPr>
      </w:pPr>
    </w:p>
    <w:p w:rsidR="00674018" w:rsidRPr="00333DD6" w:rsidRDefault="00674018" w:rsidP="00674018">
      <w:pPr>
        <w:pStyle w:val="BodyText"/>
        <w:ind w:left="1418" w:hanging="698"/>
        <w:rPr>
          <w:rFonts w:ascii="Century Gothic" w:hAnsi="Century Gothic" w:cs="Arial"/>
          <w:b/>
          <w:bCs/>
          <w:sz w:val="20"/>
          <w:u w:val="single"/>
        </w:rPr>
      </w:pPr>
      <w:r>
        <w:rPr>
          <w:rFonts w:ascii="Century Gothic" w:hAnsi="Century Gothic" w:cs="Arial"/>
          <w:bCs/>
          <w:sz w:val="20"/>
        </w:rPr>
        <w:t xml:space="preserve">(f) </w:t>
      </w:r>
      <w:r>
        <w:rPr>
          <w:rFonts w:ascii="Century Gothic" w:hAnsi="Century Gothic" w:cs="Arial"/>
          <w:bCs/>
          <w:sz w:val="20"/>
        </w:rPr>
        <w:tab/>
      </w:r>
      <w:r w:rsidRPr="00333DD6">
        <w:rPr>
          <w:rFonts w:ascii="Century Gothic" w:hAnsi="Century Gothic" w:cs="Arial"/>
          <w:b/>
          <w:bCs/>
          <w:sz w:val="20"/>
          <w:u w:val="single"/>
        </w:rPr>
        <w:t>KL High Court Commercial No: 22NCC-283-09/2015 between a director and shareholder (“Plaintiff”) Vs. Dato’Dr Norbik Bashah Bin Idris &amp; 7 Ors.</w:t>
      </w:r>
    </w:p>
    <w:p w:rsidR="00674018" w:rsidRDefault="00674018" w:rsidP="00674018">
      <w:pPr>
        <w:pStyle w:val="BodyText"/>
        <w:ind w:left="1418" w:hanging="698"/>
        <w:rPr>
          <w:rFonts w:ascii="Century Gothic" w:hAnsi="Century Gothic" w:cs="Arial"/>
          <w:bCs/>
          <w:sz w:val="20"/>
        </w:rPr>
      </w:pPr>
    </w:p>
    <w:p w:rsidR="00674018" w:rsidRDefault="00674018" w:rsidP="00674018">
      <w:pPr>
        <w:pStyle w:val="BodyText"/>
        <w:ind w:left="1418"/>
        <w:rPr>
          <w:rFonts w:ascii="Century Gothic" w:hAnsi="Century Gothic" w:cs="Arial"/>
          <w:bCs/>
          <w:sz w:val="20"/>
        </w:rPr>
      </w:pPr>
      <w:r w:rsidRPr="00D96AD3">
        <w:rPr>
          <w:rFonts w:ascii="Century Gothic" w:hAnsi="Century Gothic" w:cs="Arial"/>
          <w:bCs/>
          <w:sz w:val="20"/>
        </w:rPr>
        <w:t>On 17th September 2015, the Company was served with a writ and statement of claim filed by Plaintiff</w:t>
      </w:r>
      <w:r>
        <w:rPr>
          <w:rFonts w:ascii="Century Gothic" w:hAnsi="Century Gothic" w:cs="Arial"/>
          <w:bCs/>
          <w:sz w:val="20"/>
        </w:rPr>
        <w:t xml:space="preserve"> </w:t>
      </w:r>
      <w:r w:rsidRPr="00D96AD3">
        <w:rPr>
          <w:rFonts w:ascii="Century Gothic" w:hAnsi="Century Gothic" w:cs="Arial"/>
          <w:bCs/>
          <w:sz w:val="20"/>
        </w:rPr>
        <w:t>of the Company.</w:t>
      </w:r>
    </w:p>
    <w:p w:rsidR="00674018" w:rsidRPr="00D96AD3" w:rsidRDefault="00674018" w:rsidP="00674018">
      <w:pPr>
        <w:pStyle w:val="BodyText"/>
        <w:ind w:firstLine="720"/>
        <w:rPr>
          <w:rFonts w:ascii="Century Gothic" w:hAnsi="Century Gothic" w:cs="Arial"/>
          <w:bCs/>
          <w:sz w:val="20"/>
        </w:rPr>
      </w:pPr>
    </w:p>
    <w:p w:rsidR="00674018" w:rsidRPr="00D96AD3" w:rsidRDefault="00674018" w:rsidP="00674018">
      <w:pPr>
        <w:pStyle w:val="BodyText"/>
        <w:ind w:left="1418" w:firstLine="22"/>
        <w:rPr>
          <w:rFonts w:ascii="Century Gothic" w:hAnsi="Century Gothic" w:cs="Arial"/>
          <w:bCs/>
          <w:sz w:val="20"/>
        </w:rPr>
      </w:pPr>
      <w:r w:rsidRPr="00D96AD3">
        <w:rPr>
          <w:rFonts w:ascii="Century Gothic" w:hAnsi="Century Gothic" w:cs="Arial"/>
          <w:bCs/>
          <w:sz w:val="20"/>
        </w:rPr>
        <w:t>The Plaintiff alleges that 7 individuals acting in concert had through an agreement, arrangement and/or understanding acquired and held in aggregate 36.03% of the total issued shares of the Company and have breached Section 218(2) of the Capital Markets and Services Act (CMSA) and Section 9(1) of the Take-over and Mergers Code (the Code) by failing to make a mandatory offer (MO) to the remaining shareholders of the Company.</w:t>
      </w:r>
    </w:p>
    <w:p w:rsidR="00674018" w:rsidRPr="00D96AD3" w:rsidRDefault="00674018" w:rsidP="00674018">
      <w:pPr>
        <w:pStyle w:val="BodyText"/>
        <w:ind w:firstLine="720"/>
        <w:rPr>
          <w:rFonts w:ascii="Century Gothic" w:hAnsi="Century Gothic" w:cs="Arial"/>
          <w:bCs/>
          <w:sz w:val="20"/>
        </w:rPr>
      </w:pPr>
    </w:p>
    <w:p w:rsidR="00674018" w:rsidRPr="00D96AD3" w:rsidRDefault="00674018" w:rsidP="00674018">
      <w:pPr>
        <w:pStyle w:val="BodyText"/>
        <w:ind w:left="698" w:firstLine="720"/>
        <w:rPr>
          <w:rFonts w:ascii="Century Gothic" w:hAnsi="Century Gothic" w:cs="Arial"/>
          <w:bCs/>
          <w:sz w:val="20"/>
        </w:rPr>
      </w:pPr>
      <w:r w:rsidRPr="00D96AD3">
        <w:rPr>
          <w:rFonts w:ascii="Century Gothic" w:hAnsi="Century Gothic" w:cs="Arial"/>
          <w:bCs/>
          <w:sz w:val="20"/>
        </w:rPr>
        <w:t>The Plaintiff is claiming the following relief:-</w:t>
      </w:r>
    </w:p>
    <w:p w:rsidR="00674018" w:rsidRPr="00D96AD3" w:rsidRDefault="00674018" w:rsidP="00674018">
      <w:pPr>
        <w:pStyle w:val="BodyText"/>
        <w:ind w:firstLine="720"/>
        <w:rPr>
          <w:rFonts w:ascii="Century Gothic" w:hAnsi="Century Gothic" w:cs="Arial"/>
          <w:bCs/>
          <w:sz w:val="20"/>
        </w:rPr>
      </w:pPr>
    </w:p>
    <w:p w:rsidR="00674018" w:rsidRPr="00D96AD3" w:rsidRDefault="00674018" w:rsidP="00674018">
      <w:pPr>
        <w:pStyle w:val="BodyText"/>
        <w:ind w:left="2153" w:hanging="735"/>
        <w:rPr>
          <w:rFonts w:ascii="Century Gothic" w:hAnsi="Century Gothic" w:cs="Arial"/>
          <w:bCs/>
          <w:sz w:val="20"/>
        </w:rPr>
      </w:pPr>
      <w:r w:rsidRPr="00D96AD3">
        <w:rPr>
          <w:rFonts w:ascii="Century Gothic" w:hAnsi="Century Gothic" w:cs="Arial"/>
          <w:bCs/>
          <w:sz w:val="20"/>
        </w:rPr>
        <w:t>(i)</w:t>
      </w:r>
      <w:r w:rsidRPr="00D96AD3">
        <w:rPr>
          <w:rFonts w:ascii="Century Gothic" w:hAnsi="Century Gothic" w:cs="Arial"/>
          <w:bCs/>
          <w:sz w:val="20"/>
        </w:rPr>
        <w:tab/>
        <w:t>A declaration that the 7 individuals are acting in concert to obtain control of the Company.</w:t>
      </w:r>
    </w:p>
    <w:p w:rsidR="00674018" w:rsidRPr="00D96AD3" w:rsidRDefault="00674018" w:rsidP="00674018">
      <w:pPr>
        <w:pStyle w:val="BodyText"/>
        <w:ind w:left="2153" w:hanging="713"/>
        <w:rPr>
          <w:rFonts w:ascii="Century Gothic" w:hAnsi="Century Gothic" w:cs="Arial"/>
          <w:bCs/>
          <w:sz w:val="20"/>
        </w:rPr>
      </w:pPr>
      <w:r w:rsidRPr="00D96AD3">
        <w:rPr>
          <w:rFonts w:ascii="Century Gothic" w:hAnsi="Century Gothic" w:cs="Arial"/>
          <w:bCs/>
          <w:sz w:val="20"/>
        </w:rPr>
        <w:t>(ii)</w:t>
      </w:r>
      <w:r w:rsidRPr="00D96AD3">
        <w:rPr>
          <w:rFonts w:ascii="Century Gothic" w:hAnsi="Century Gothic" w:cs="Arial"/>
          <w:bCs/>
          <w:sz w:val="20"/>
        </w:rPr>
        <w:tab/>
        <w:t>A declaration that the 7 individuals had breached Section 218(2) of the CMSA and Section 9(1) of the Code.</w:t>
      </w:r>
    </w:p>
    <w:p w:rsidR="00674018" w:rsidRPr="00D96AD3" w:rsidRDefault="00674018" w:rsidP="00674018">
      <w:pPr>
        <w:pStyle w:val="BodyText"/>
        <w:ind w:left="2153" w:hanging="713"/>
        <w:rPr>
          <w:rFonts w:ascii="Century Gothic" w:hAnsi="Century Gothic" w:cs="Arial"/>
          <w:bCs/>
          <w:sz w:val="20"/>
        </w:rPr>
      </w:pPr>
      <w:r w:rsidRPr="00D96AD3">
        <w:rPr>
          <w:rFonts w:ascii="Century Gothic" w:hAnsi="Century Gothic" w:cs="Arial"/>
          <w:bCs/>
          <w:sz w:val="20"/>
        </w:rPr>
        <w:t>(iii)</w:t>
      </w:r>
      <w:r w:rsidRPr="00D96AD3">
        <w:rPr>
          <w:rFonts w:ascii="Century Gothic" w:hAnsi="Century Gothic" w:cs="Arial"/>
          <w:bCs/>
          <w:sz w:val="20"/>
        </w:rPr>
        <w:tab/>
        <w:t>A declaration that the requisition by certain individuals, who are part of the 7 individuals, for an Extraordinary General Meeting to remove the existing directors and appoint certain new directors is null and void.</w:t>
      </w:r>
    </w:p>
    <w:p w:rsidR="00674018" w:rsidRDefault="00674018" w:rsidP="00674018">
      <w:pPr>
        <w:pStyle w:val="BodyText"/>
        <w:ind w:left="2153" w:hanging="713"/>
        <w:rPr>
          <w:rFonts w:ascii="Century Gothic" w:hAnsi="Century Gothic" w:cs="Arial"/>
          <w:bCs/>
          <w:sz w:val="20"/>
        </w:rPr>
      </w:pPr>
      <w:r w:rsidRPr="00D96AD3">
        <w:rPr>
          <w:rFonts w:ascii="Century Gothic" w:hAnsi="Century Gothic" w:cs="Arial"/>
          <w:bCs/>
          <w:sz w:val="20"/>
        </w:rPr>
        <w:t>(iv)</w:t>
      </w:r>
      <w:r w:rsidRPr="00D96AD3">
        <w:rPr>
          <w:rFonts w:ascii="Century Gothic" w:hAnsi="Century Gothic" w:cs="Arial"/>
          <w:bCs/>
          <w:sz w:val="20"/>
        </w:rPr>
        <w:tab/>
        <w:t>An order for the 7 individuals or any one of them to undertake a MO or alternatively all the shares of the Company held by the 7 individuals be vested with the Securities Commission.</w:t>
      </w:r>
    </w:p>
    <w:p w:rsidR="00674018" w:rsidRPr="00D96AD3" w:rsidRDefault="00674018" w:rsidP="00674018">
      <w:pPr>
        <w:pStyle w:val="BodyText"/>
        <w:ind w:left="720" w:firstLine="720"/>
        <w:rPr>
          <w:rFonts w:ascii="Century Gothic" w:hAnsi="Century Gothic" w:cs="Arial"/>
          <w:bCs/>
          <w:sz w:val="20"/>
        </w:rPr>
      </w:pPr>
      <w:r w:rsidRPr="00D96AD3">
        <w:rPr>
          <w:rFonts w:ascii="Century Gothic" w:hAnsi="Century Gothic" w:cs="Arial"/>
          <w:bCs/>
          <w:sz w:val="20"/>
        </w:rPr>
        <w:t>(v)</w:t>
      </w:r>
      <w:r w:rsidRPr="00D96AD3">
        <w:rPr>
          <w:rFonts w:ascii="Century Gothic" w:hAnsi="Century Gothic" w:cs="Arial"/>
          <w:bCs/>
          <w:sz w:val="20"/>
        </w:rPr>
        <w:tab/>
        <w:t>Damages and cost.</w:t>
      </w:r>
    </w:p>
    <w:p w:rsidR="00674018" w:rsidRPr="00D96AD3" w:rsidRDefault="00674018" w:rsidP="00674018">
      <w:pPr>
        <w:pStyle w:val="BodyText"/>
        <w:ind w:firstLine="720"/>
        <w:rPr>
          <w:rFonts w:ascii="Century Gothic" w:hAnsi="Century Gothic" w:cs="Arial"/>
          <w:bCs/>
          <w:sz w:val="20"/>
        </w:rPr>
      </w:pPr>
    </w:p>
    <w:p w:rsidR="00674018" w:rsidRPr="00D96AD3" w:rsidRDefault="00674018" w:rsidP="00674018">
      <w:pPr>
        <w:pStyle w:val="BodyText"/>
        <w:ind w:left="720" w:firstLine="720"/>
        <w:rPr>
          <w:rFonts w:ascii="Century Gothic" w:hAnsi="Century Gothic" w:cs="Arial"/>
          <w:bCs/>
          <w:sz w:val="20"/>
        </w:rPr>
      </w:pPr>
      <w:r w:rsidRPr="00D96AD3">
        <w:rPr>
          <w:rFonts w:ascii="Century Gothic" w:hAnsi="Century Gothic" w:cs="Arial"/>
          <w:bCs/>
          <w:sz w:val="20"/>
        </w:rPr>
        <w:t>There is no relief being sort by the Plaintiff against the Company.</w:t>
      </w:r>
    </w:p>
    <w:p w:rsidR="00674018" w:rsidRPr="00D96AD3" w:rsidRDefault="00674018" w:rsidP="00674018">
      <w:pPr>
        <w:pStyle w:val="BodyText"/>
        <w:ind w:firstLine="720"/>
        <w:rPr>
          <w:rFonts w:ascii="Century Gothic" w:hAnsi="Century Gothic" w:cs="Arial"/>
          <w:bCs/>
          <w:sz w:val="20"/>
        </w:rPr>
      </w:pPr>
    </w:p>
    <w:p w:rsidR="00674018" w:rsidRDefault="00674018" w:rsidP="00674018">
      <w:pPr>
        <w:pStyle w:val="BodyText"/>
        <w:ind w:left="720" w:firstLine="720"/>
        <w:rPr>
          <w:rFonts w:ascii="Century Gothic" w:hAnsi="Century Gothic" w:cs="Arial"/>
          <w:bCs/>
          <w:sz w:val="20"/>
        </w:rPr>
      </w:pPr>
      <w:r w:rsidRPr="00D96AD3">
        <w:rPr>
          <w:rFonts w:ascii="Century Gothic" w:hAnsi="Century Gothic" w:cs="Arial"/>
          <w:bCs/>
          <w:sz w:val="20"/>
        </w:rPr>
        <w:t>The case management is set for 11th December 2015.</w:t>
      </w:r>
    </w:p>
    <w:p w:rsidR="00674018" w:rsidRDefault="00674018" w:rsidP="00674018">
      <w:pPr>
        <w:pStyle w:val="BodyText"/>
        <w:ind w:left="720" w:firstLine="720"/>
        <w:rPr>
          <w:rFonts w:ascii="Century Gothic" w:hAnsi="Century Gothic" w:cs="Arial"/>
          <w:bCs/>
          <w:sz w:val="20"/>
        </w:rPr>
      </w:pPr>
    </w:p>
    <w:p w:rsidR="00674018" w:rsidRDefault="0067401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Default="00027258" w:rsidP="00674018">
      <w:pPr>
        <w:pStyle w:val="BodyText"/>
        <w:ind w:left="720" w:firstLine="720"/>
        <w:rPr>
          <w:rFonts w:ascii="Century Gothic" w:hAnsi="Century Gothic" w:cs="Arial"/>
          <w:bCs/>
          <w:sz w:val="20"/>
        </w:rPr>
      </w:pPr>
    </w:p>
    <w:p w:rsidR="00027258" w:rsidRPr="00027258" w:rsidRDefault="00027258" w:rsidP="00027258">
      <w:pPr>
        <w:ind w:left="720" w:hanging="720"/>
        <w:jc w:val="both"/>
        <w:rPr>
          <w:rFonts w:ascii="Century Gothic" w:hAnsi="Century Gothic"/>
          <w:b/>
        </w:rPr>
      </w:pPr>
      <w:r w:rsidRPr="00027258">
        <w:rPr>
          <w:rFonts w:ascii="Century Gothic" w:hAnsi="Century Gothic"/>
          <w:b/>
        </w:rPr>
        <w:lastRenderedPageBreak/>
        <w:t>B</w:t>
      </w:r>
      <w:r w:rsidRPr="00027258">
        <w:rPr>
          <w:rFonts w:ascii="Century Gothic" w:hAnsi="Century Gothic"/>
          <w:b/>
        </w:rPr>
        <w:tab/>
        <w:t>EXPLANATORY NOTES PURSUANT TO APPENDIX 9B OF THE ACE MARKET LISTING REQUIREMENTS OF BURSA SECURITIES (CONT’D)</w:t>
      </w:r>
    </w:p>
    <w:p w:rsidR="00027258" w:rsidRPr="00027258" w:rsidRDefault="00027258" w:rsidP="00027258">
      <w:pPr>
        <w:pStyle w:val="BodyText"/>
        <w:ind w:left="1418"/>
        <w:rPr>
          <w:rFonts w:ascii="Century Gothic" w:hAnsi="Century Gothic" w:cs="Arial"/>
          <w:bCs/>
          <w:sz w:val="20"/>
        </w:rPr>
      </w:pPr>
    </w:p>
    <w:p w:rsidR="00027258" w:rsidRPr="00027258" w:rsidRDefault="00027258" w:rsidP="00027258">
      <w:pPr>
        <w:pStyle w:val="BodyText"/>
        <w:rPr>
          <w:rFonts w:ascii="Century Gothic" w:hAnsi="Century Gothic"/>
          <w:b/>
          <w:sz w:val="20"/>
        </w:rPr>
      </w:pPr>
      <w:r w:rsidRPr="00027258">
        <w:rPr>
          <w:rFonts w:ascii="Century Gothic" w:hAnsi="Century Gothic"/>
          <w:b/>
          <w:sz w:val="20"/>
        </w:rPr>
        <w:t>B8</w:t>
      </w:r>
      <w:r w:rsidRPr="00027258">
        <w:rPr>
          <w:rFonts w:ascii="Century Gothic" w:hAnsi="Century Gothic"/>
          <w:b/>
          <w:sz w:val="20"/>
        </w:rPr>
        <w:tab/>
        <w:t>Material Litigations (Cont’d)</w:t>
      </w:r>
    </w:p>
    <w:p w:rsidR="00027258" w:rsidRDefault="00027258" w:rsidP="00674018">
      <w:pPr>
        <w:pStyle w:val="BodyText"/>
        <w:ind w:left="720" w:firstLine="720"/>
        <w:rPr>
          <w:rFonts w:ascii="Century Gothic" w:hAnsi="Century Gothic" w:cs="Arial"/>
          <w:bCs/>
          <w:sz w:val="20"/>
        </w:rPr>
      </w:pPr>
    </w:p>
    <w:p w:rsidR="00674018" w:rsidRDefault="00674018" w:rsidP="00674018">
      <w:pPr>
        <w:pStyle w:val="BodyText"/>
        <w:ind w:left="720" w:firstLine="720"/>
        <w:rPr>
          <w:rFonts w:ascii="Century Gothic" w:hAnsi="Century Gothic" w:cs="Arial"/>
          <w:bCs/>
          <w:sz w:val="20"/>
        </w:rPr>
      </w:pPr>
    </w:p>
    <w:p w:rsidR="00674018" w:rsidRPr="00333DD6" w:rsidRDefault="00674018" w:rsidP="00674018">
      <w:pPr>
        <w:pStyle w:val="BodyText"/>
        <w:numPr>
          <w:ilvl w:val="0"/>
          <w:numId w:val="16"/>
        </w:numPr>
        <w:ind w:left="1418" w:hanging="567"/>
        <w:rPr>
          <w:rFonts w:ascii="Century Gothic" w:hAnsi="Century Gothic" w:cs="Arial"/>
          <w:b/>
          <w:bCs/>
          <w:sz w:val="20"/>
          <w:u w:val="single"/>
        </w:rPr>
      </w:pPr>
      <w:r w:rsidRPr="00333DD6">
        <w:rPr>
          <w:rFonts w:ascii="Century Gothic" w:hAnsi="Century Gothic" w:cs="Arial"/>
          <w:b/>
          <w:bCs/>
          <w:sz w:val="20"/>
          <w:u w:val="single"/>
        </w:rPr>
        <w:t>KL High Court Origination Summons No. 24NCC-343-09/2015 Between Dato’Dr. Norbik Bashah Bin Idris Vs. SCAN Associates Berhad (the Company) &amp; 4 Others (Collectively Defendants).</w:t>
      </w:r>
    </w:p>
    <w:p w:rsidR="00674018" w:rsidRDefault="00674018" w:rsidP="00674018">
      <w:pPr>
        <w:pStyle w:val="BodyText"/>
        <w:ind w:left="1440"/>
        <w:rPr>
          <w:rFonts w:ascii="Century Gothic" w:hAnsi="Century Gothic" w:cs="Arial"/>
          <w:bCs/>
          <w:sz w:val="20"/>
        </w:rPr>
      </w:pPr>
    </w:p>
    <w:p w:rsidR="00674018" w:rsidRDefault="00674018" w:rsidP="00674018">
      <w:pPr>
        <w:pStyle w:val="BodyText"/>
        <w:ind w:left="1440"/>
        <w:rPr>
          <w:rFonts w:ascii="Century Gothic" w:hAnsi="Century Gothic" w:cs="Arial"/>
          <w:bCs/>
          <w:sz w:val="20"/>
        </w:rPr>
      </w:pPr>
      <w:r w:rsidRPr="00D96AD3">
        <w:rPr>
          <w:rFonts w:ascii="Century Gothic" w:hAnsi="Century Gothic" w:cs="Arial"/>
          <w:bCs/>
          <w:sz w:val="20"/>
        </w:rPr>
        <w:t xml:space="preserve">On 6th October 2015, the Company was served with an Originating Summons which was filed by a former director, Dato’ Dr. Norbik Bashah bin Idris (“the Plaintiff”). </w:t>
      </w:r>
    </w:p>
    <w:p w:rsidR="00674018" w:rsidRPr="00D96AD3" w:rsidRDefault="00674018" w:rsidP="00674018">
      <w:pPr>
        <w:pStyle w:val="BodyText"/>
        <w:ind w:left="1440"/>
        <w:rPr>
          <w:rFonts w:ascii="Century Gothic" w:hAnsi="Century Gothic" w:cs="Arial"/>
          <w:bCs/>
          <w:sz w:val="20"/>
        </w:rPr>
      </w:pPr>
    </w:p>
    <w:p w:rsidR="00674018" w:rsidRPr="00D96AD3" w:rsidRDefault="00674018" w:rsidP="00674018">
      <w:pPr>
        <w:pStyle w:val="BodyText"/>
        <w:ind w:left="1440"/>
        <w:rPr>
          <w:rFonts w:ascii="Century Gothic" w:hAnsi="Century Gothic" w:cs="Arial"/>
          <w:bCs/>
          <w:sz w:val="20"/>
        </w:rPr>
      </w:pPr>
      <w:r w:rsidRPr="00D96AD3">
        <w:rPr>
          <w:rFonts w:ascii="Century Gothic" w:hAnsi="Century Gothic" w:cs="Arial"/>
          <w:bCs/>
          <w:sz w:val="20"/>
        </w:rPr>
        <w:t xml:space="preserve">The Originating Summons </w:t>
      </w:r>
      <w:r>
        <w:rPr>
          <w:rFonts w:ascii="Century Gothic" w:hAnsi="Century Gothic" w:cs="Arial"/>
          <w:bCs/>
          <w:sz w:val="20"/>
        </w:rPr>
        <w:t>by the Plaintiff is to seek the following court orders and/or relief:-</w:t>
      </w:r>
    </w:p>
    <w:p w:rsidR="00674018" w:rsidRPr="00D96AD3" w:rsidRDefault="00674018" w:rsidP="00674018">
      <w:pPr>
        <w:pStyle w:val="BodyText"/>
        <w:ind w:left="1440"/>
        <w:rPr>
          <w:rFonts w:ascii="Century Gothic" w:hAnsi="Century Gothic" w:cs="Arial"/>
          <w:bCs/>
          <w:sz w:val="20"/>
        </w:rPr>
      </w:pPr>
    </w:p>
    <w:p w:rsidR="00674018" w:rsidRPr="00D96AD3" w:rsidRDefault="00674018" w:rsidP="00674018">
      <w:pPr>
        <w:pStyle w:val="BodyText"/>
        <w:ind w:left="2880" w:hanging="720"/>
        <w:rPr>
          <w:rFonts w:ascii="Century Gothic" w:hAnsi="Century Gothic" w:cs="Arial"/>
          <w:bCs/>
          <w:sz w:val="20"/>
        </w:rPr>
      </w:pPr>
      <w:r w:rsidRPr="00D96AD3">
        <w:rPr>
          <w:rFonts w:ascii="Century Gothic" w:hAnsi="Century Gothic" w:cs="Arial"/>
          <w:bCs/>
          <w:sz w:val="20"/>
        </w:rPr>
        <w:t>(a)</w:t>
      </w:r>
      <w:r w:rsidRPr="00D96AD3">
        <w:rPr>
          <w:rFonts w:ascii="Century Gothic" w:hAnsi="Century Gothic" w:cs="Arial"/>
          <w:bCs/>
          <w:sz w:val="20"/>
        </w:rPr>
        <w:tab/>
        <w:t>that Defendants do immediately furnish to the Plaintiff with a copy of the Record of Depositors and the Register and Index of Members;</w:t>
      </w:r>
    </w:p>
    <w:p w:rsidR="00674018" w:rsidRDefault="00674018" w:rsidP="00674018">
      <w:pPr>
        <w:pStyle w:val="BodyText"/>
        <w:ind w:left="2880" w:hanging="720"/>
        <w:rPr>
          <w:rFonts w:ascii="Century Gothic" w:hAnsi="Century Gothic" w:cs="Arial"/>
          <w:bCs/>
          <w:sz w:val="20"/>
        </w:rPr>
      </w:pPr>
      <w:r w:rsidRPr="00D96AD3">
        <w:rPr>
          <w:rFonts w:ascii="Century Gothic" w:hAnsi="Century Gothic" w:cs="Arial"/>
          <w:bCs/>
          <w:sz w:val="20"/>
        </w:rPr>
        <w:t>(b)</w:t>
      </w:r>
      <w:r w:rsidRPr="00D96AD3">
        <w:rPr>
          <w:rFonts w:ascii="Century Gothic" w:hAnsi="Century Gothic" w:cs="Arial"/>
          <w:bCs/>
          <w:sz w:val="20"/>
        </w:rPr>
        <w:tab/>
        <w:t>that the Plaintiff upon being provided the Record of Depositors and the Register and Index of Members be granted with such enlargement of time of six months to convene an extraordinary general meeting;</w:t>
      </w:r>
    </w:p>
    <w:p w:rsidR="00674018" w:rsidRPr="00D96AD3" w:rsidRDefault="00674018" w:rsidP="00674018">
      <w:pPr>
        <w:pStyle w:val="BodyText"/>
        <w:ind w:left="2880" w:hanging="720"/>
        <w:rPr>
          <w:rFonts w:ascii="Century Gothic" w:hAnsi="Century Gothic" w:cs="Arial"/>
          <w:bCs/>
          <w:sz w:val="20"/>
        </w:rPr>
      </w:pPr>
      <w:r w:rsidRPr="00D96AD3">
        <w:rPr>
          <w:rFonts w:ascii="Century Gothic" w:hAnsi="Century Gothic" w:cs="Arial"/>
          <w:bCs/>
          <w:sz w:val="20"/>
        </w:rPr>
        <w:t>(c)</w:t>
      </w:r>
      <w:r w:rsidRPr="00D96AD3">
        <w:rPr>
          <w:rFonts w:ascii="Century Gothic" w:hAnsi="Century Gothic" w:cs="Arial"/>
          <w:bCs/>
          <w:sz w:val="20"/>
        </w:rPr>
        <w:tab/>
        <w:t xml:space="preserve">that the costs of and occasioned by this application be paid by the </w:t>
      </w:r>
      <w:r>
        <w:rPr>
          <w:rFonts w:ascii="Century Gothic" w:hAnsi="Century Gothic" w:cs="Arial"/>
          <w:bCs/>
          <w:sz w:val="20"/>
        </w:rPr>
        <w:t>D</w:t>
      </w:r>
      <w:r w:rsidRPr="00D96AD3">
        <w:rPr>
          <w:rFonts w:ascii="Century Gothic" w:hAnsi="Century Gothic" w:cs="Arial"/>
          <w:bCs/>
          <w:sz w:val="20"/>
        </w:rPr>
        <w:t>efendants to the Plaintiff; and</w:t>
      </w:r>
    </w:p>
    <w:p w:rsidR="00674018" w:rsidRPr="00D96AD3" w:rsidRDefault="00674018" w:rsidP="00674018">
      <w:pPr>
        <w:pStyle w:val="BodyText"/>
        <w:ind w:left="1440" w:firstLine="720"/>
        <w:rPr>
          <w:rFonts w:ascii="Century Gothic" w:hAnsi="Century Gothic" w:cs="Arial"/>
          <w:bCs/>
          <w:sz w:val="20"/>
        </w:rPr>
      </w:pPr>
      <w:r w:rsidRPr="00D96AD3">
        <w:rPr>
          <w:rFonts w:ascii="Century Gothic" w:hAnsi="Century Gothic" w:cs="Arial"/>
          <w:bCs/>
          <w:sz w:val="20"/>
        </w:rPr>
        <w:t>(d)</w:t>
      </w:r>
      <w:r w:rsidRPr="00D96AD3">
        <w:rPr>
          <w:rFonts w:ascii="Century Gothic" w:hAnsi="Century Gothic" w:cs="Arial"/>
          <w:bCs/>
          <w:sz w:val="20"/>
        </w:rPr>
        <w:tab/>
        <w:t>such further order and/or relief as this Honourable Court deems fit or just.</w:t>
      </w:r>
    </w:p>
    <w:p w:rsidR="00674018" w:rsidRPr="00D96AD3" w:rsidRDefault="00674018" w:rsidP="00674018">
      <w:pPr>
        <w:pStyle w:val="BodyText"/>
        <w:ind w:left="1440"/>
        <w:rPr>
          <w:rFonts w:ascii="Century Gothic" w:hAnsi="Century Gothic" w:cs="Arial"/>
          <w:bCs/>
          <w:sz w:val="20"/>
        </w:rPr>
      </w:pPr>
    </w:p>
    <w:p w:rsidR="00674018" w:rsidRDefault="00674018" w:rsidP="00674018">
      <w:pPr>
        <w:pStyle w:val="BodyText"/>
        <w:ind w:left="1440"/>
        <w:rPr>
          <w:rFonts w:ascii="Century Gothic" w:hAnsi="Century Gothic" w:cs="Arial"/>
          <w:bCs/>
          <w:sz w:val="20"/>
        </w:rPr>
      </w:pPr>
      <w:r>
        <w:rPr>
          <w:rFonts w:ascii="Century Gothic" w:hAnsi="Century Gothic" w:cs="Arial"/>
          <w:bCs/>
          <w:sz w:val="20"/>
        </w:rPr>
        <w:t>The Court has directed that this case be put on hold until the application to consolidate this case with case stated in (f) is heard and decided upon.</w:t>
      </w:r>
    </w:p>
    <w:p w:rsidR="00674018" w:rsidRDefault="00674018" w:rsidP="00674018">
      <w:pPr>
        <w:pStyle w:val="BodyText"/>
        <w:ind w:left="1440"/>
        <w:rPr>
          <w:rFonts w:ascii="Century Gothic" w:hAnsi="Century Gothic" w:cs="Arial"/>
          <w:bCs/>
          <w:sz w:val="20"/>
        </w:rPr>
      </w:pPr>
    </w:p>
    <w:p w:rsidR="00674018" w:rsidRDefault="00674018" w:rsidP="00674018">
      <w:pPr>
        <w:pStyle w:val="BodyText"/>
        <w:ind w:left="1440"/>
        <w:rPr>
          <w:rFonts w:ascii="Century Gothic" w:hAnsi="Century Gothic" w:cs="Arial"/>
          <w:bCs/>
          <w:sz w:val="20"/>
        </w:rPr>
      </w:pPr>
      <w:r>
        <w:rPr>
          <w:rFonts w:ascii="Century Gothic" w:hAnsi="Century Gothic" w:cs="Arial"/>
          <w:bCs/>
          <w:sz w:val="20"/>
        </w:rPr>
        <w:t>The application to consolidate the cases was filed by the solicitors for the Defendants and the case management is fixed on 9 December 2015.</w:t>
      </w:r>
    </w:p>
    <w:p w:rsidR="00674018" w:rsidRDefault="00674018" w:rsidP="00674018">
      <w:pPr>
        <w:pStyle w:val="BodyText"/>
        <w:ind w:left="720" w:firstLine="720"/>
        <w:rPr>
          <w:rFonts w:ascii="Century Gothic" w:hAnsi="Century Gothic" w:cs="Arial"/>
          <w:sz w:val="20"/>
        </w:rPr>
      </w:pPr>
    </w:p>
    <w:p w:rsidR="00674018" w:rsidRDefault="00674018" w:rsidP="00674018">
      <w:pPr>
        <w:ind w:left="1440" w:hanging="720"/>
        <w:jc w:val="both"/>
        <w:rPr>
          <w:rFonts w:ascii="Century Gothic" w:hAnsi="Century Gothic"/>
        </w:rPr>
      </w:pPr>
      <w:r w:rsidRPr="00D96AD3">
        <w:rPr>
          <w:rFonts w:ascii="Century Gothic" w:hAnsi="Century Gothic"/>
        </w:rPr>
        <w:t>(</w:t>
      </w:r>
      <w:r>
        <w:rPr>
          <w:rFonts w:ascii="Century Gothic" w:hAnsi="Century Gothic"/>
        </w:rPr>
        <w:t>h</w:t>
      </w:r>
      <w:r w:rsidRPr="00D96AD3">
        <w:rPr>
          <w:rFonts w:ascii="Century Gothic" w:hAnsi="Century Gothic"/>
        </w:rPr>
        <w:t xml:space="preserve">) </w:t>
      </w:r>
      <w:r w:rsidRPr="00D96AD3">
        <w:rPr>
          <w:rFonts w:ascii="Century Gothic" w:hAnsi="Century Gothic"/>
        </w:rPr>
        <w:tab/>
      </w:r>
      <w:r w:rsidRPr="00333DD6">
        <w:rPr>
          <w:rFonts w:ascii="Century Gothic" w:hAnsi="Century Gothic"/>
          <w:b/>
          <w:u w:val="single"/>
        </w:rPr>
        <w:t>KL High Court Suit No. 22NCC-347-10-2015 between SCAN Associates Berhad (“the Plaintiff”) Vs. Dato’Dr Norbik Bashah Bin Idris (‘”ex CEO”), Nurul Huda Binti Zaharol Natrar (“ex CFO”) and SCAN Consulting Services Sdn Bhd (“SCSSB”)</w:t>
      </w:r>
    </w:p>
    <w:p w:rsidR="00674018" w:rsidRDefault="00674018" w:rsidP="00674018">
      <w:pPr>
        <w:ind w:left="1440" w:hanging="720"/>
        <w:jc w:val="both"/>
        <w:rPr>
          <w:rFonts w:ascii="Century Gothic" w:hAnsi="Century Gothic"/>
        </w:rPr>
      </w:pPr>
    </w:p>
    <w:p w:rsidR="00674018" w:rsidRDefault="00674018" w:rsidP="00674018">
      <w:pPr>
        <w:ind w:left="1440"/>
        <w:jc w:val="both"/>
        <w:rPr>
          <w:rFonts w:ascii="Century Gothic" w:hAnsi="Century Gothic"/>
        </w:rPr>
      </w:pPr>
      <w:r w:rsidRPr="00A06E4C">
        <w:rPr>
          <w:rFonts w:ascii="Century Gothic" w:hAnsi="Century Gothic"/>
        </w:rPr>
        <w:t xml:space="preserve">On 30.10.2015, the </w:t>
      </w:r>
      <w:r>
        <w:rPr>
          <w:rFonts w:ascii="Century Gothic" w:hAnsi="Century Gothic"/>
        </w:rPr>
        <w:t>Plaintiff</w:t>
      </w:r>
      <w:r w:rsidRPr="00A06E4C">
        <w:rPr>
          <w:rFonts w:ascii="Century Gothic" w:hAnsi="Century Gothic"/>
        </w:rPr>
        <w:t xml:space="preserve"> had filed a statement of claim in the High Court of Kuala Lumpur against </w:t>
      </w:r>
      <w:r>
        <w:rPr>
          <w:rFonts w:ascii="Century Gothic" w:hAnsi="Century Gothic"/>
        </w:rPr>
        <w:t>ex CEO, ex CFO and SCSSB (Collectively Defendants).</w:t>
      </w:r>
    </w:p>
    <w:p w:rsidR="00674018" w:rsidRDefault="00674018" w:rsidP="00674018">
      <w:pPr>
        <w:ind w:hanging="720"/>
        <w:jc w:val="both"/>
      </w:pPr>
    </w:p>
    <w:p w:rsidR="00674018" w:rsidRPr="00A06E4C" w:rsidRDefault="00674018" w:rsidP="00674018">
      <w:pPr>
        <w:ind w:left="1440"/>
        <w:jc w:val="both"/>
        <w:rPr>
          <w:rFonts w:ascii="Century Gothic" w:hAnsi="Century Gothic"/>
        </w:rPr>
      </w:pPr>
      <w:r w:rsidRPr="00A06E4C">
        <w:rPr>
          <w:rFonts w:ascii="Century Gothic" w:hAnsi="Century Gothic"/>
        </w:rPr>
        <w:t>The ex CEO is a former director and shareholder of SCSSB who controlled and is still controlling SCSSB at all material times.</w:t>
      </w:r>
    </w:p>
    <w:p w:rsidR="00674018" w:rsidRPr="00A06E4C" w:rsidRDefault="00674018" w:rsidP="00674018">
      <w:pPr>
        <w:ind w:left="720"/>
        <w:jc w:val="both"/>
        <w:rPr>
          <w:rFonts w:ascii="Century Gothic" w:hAnsi="Century Gothic"/>
        </w:rPr>
      </w:pPr>
    </w:p>
    <w:p w:rsidR="00674018" w:rsidRPr="00A06E4C" w:rsidRDefault="00674018" w:rsidP="00674018">
      <w:pPr>
        <w:ind w:left="1440"/>
        <w:jc w:val="both"/>
        <w:rPr>
          <w:rFonts w:ascii="Century Gothic" w:hAnsi="Century Gothic"/>
        </w:rPr>
      </w:pPr>
      <w:r w:rsidRPr="00A06E4C">
        <w:rPr>
          <w:rFonts w:ascii="Century Gothic" w:hAnsi="Century Gothic"/>
        </w:rPr>
        <w:t>In the Statement of Claims, the Company claims that the ex CEO and ex CFO had (amongst others):</w:t>
      </w:r>
    </w:p>
    <w:p w:rsidR="00674018" w:rsidRPr="00A06E4C" w:rsidRDefault="00674018" w:rsidP="00674018">
      <w:pPr>
        <w:ind w:left="720"/>
        <w:jc w:val="both"/>
        <w:rPr>
          <w:rFonts w:ascii="Century Gothic" w:hAnsi="Century Gothic"/>
        </w:rPr>
      </w:pPr>
    </w:p>
    <w:p w:rsidR="00674018" w:rsidRDefault="00674018" w:rsidP="00674018">
      <w:pPr>
        <w:ind w:left="1701" w:hanging="283"/>
        <w:jc w:val="both"/>
        <w:rPr>
          <w:rFonts w:ascii="Century Gothic" w:hAnsi="Century Gothic"/>
        </w:rPr>
      </w:pPr>
      <w:r w:rsidRPr="00A06E4C">
        <w:rPr>
          <w:rFonts w:ascii="Century Gothic" w:hAnsi="Century Gothic"/>
        </w:rPr>
        <w:t>a) breached their duties and responsibilities as principal officers of the Company and caused the Company to incur losses, and/or</w:t>
      </w:r>
    </w:p>
    <w:p w:rsidR="00674018" w:rsidRDefault="00674018" w:rsidP="00674018">
      <w:pPr>
        <w:ind w:left="720" w:hanging="742"/>
        <w:jc w:val="both"/>
        <w:rPr>
          <w:rFonts w:ascii="Century Gothic" w:hAnsi="Century Gothic"/>
        </w:rPr>
      </w:pPr>
    </w:p>
    <w:p w:rsidR="00027258" w:rsidRDefault="00027258" w:rsidP="00674018">
      <w:pPr>
        <w:ind w:left="720" w:hanging="742"/>
        <w:jc w:val="both"/>
        <w:rPr>
          <w:rFonts w:ascii="Century Gothic" w:hAnsi="Century Gothic"/>
        </w:rPr>
      </w:pPr>
    </w:p>
    <w:p w:rsidR="00027258" w:rsidRDefault="00027258" w:rsidP="00674018">
      <w:pPr>
        <w:ind w:left="720" w:hanging="742"/>
        <w:jc w:val="both"/>
        <w:rPr>
          <w:rFonts w:ascii="Century Gothic" w:hAnsi="Century Gothic"/>
        </w:rPr>
      </w:pPr>
    </w:p>
    <w:p w:rsidR="00027258" w:rsidRDefault="00027258" w:rsidP="00674018">
      <w:pPr>
        <w:ind w:left="720" w:hanging="742"/>
        <w:jc w:val="both"/>
        <w:rPr>
          <w:rFonts w:ascii="Century Gothic" w:hAnsi="Century Gothic"/>
        </w:rPr>
      </w:pPr>
    </w:p>
    <w:p w:rsidR="00027258" w:rsidRDefault="00027258" w:rsidP="00674018">
      <w:pPr>
        <w:ind w:left="720" w:hanging="742"/>
        <w:jc w:val="both"/>
        <w:rPr>
          <w:rFonts w:ascii="Century Gothic" w:hAnsi="Century Gothic"/>
        </w:rPr>
      </w:pPr>
    </w:p>
    <w:p w:rsidR="00027258" w:rsidRDefault="00027258" w:rsidP="00674018">
      <w:pPr>
        <w:ind w:left="720" w:hanging="742"/>
        <w:jc w:val="both"/>
        <w:rPr>
          <w:rFonts w:ascii="Century Gothic" w:hAnsi="Century Gothic"/>
        </w:rPr>
      </w:pPr>
    </w:p>
    <w:p w:rsidR="00027258" w:rsidRDefault="00027258" w:rsidP="00674018">
      <w:pPr>
        <w:ind w:left="720" w:hanging="742"/>
        <w:jc w:val="both"/>
        <w:rPr>
          <w:rFonts w:ascii="Century Gothic" w:hAnsi="Century Gothic"/>
        </w:rPr>
      </w:pPr>
    </w:p>
    <w:p w:rsidR="00027258" w:rsidRDefault="00027258" w:rsidP="00674018">
      <w:pPr>
        <w:ind w:left="720" w:hanging="742"/>
        <w:jc w:val="both"/>
        <w:rPr>
          <w:rFonts w:ascii="Century Gothic" w:hAnsi="Century Gothic"/>
        </w:rPr>
      </w:pPr>
    </w:p>
    <w:p w:rsidR="00027258" w:rsidRDefault="00027258" w:rsidP="00674018">
      <w:pPr>
        <w:ind w:left="720" w:hanging="742"/>
        <w:jc w:val="both"/>
        <w:rPr>
          <w:rFonts w:ascii="Century Gothic" w:hAnsi="Century Gothic"/>
        </w:rPr>
      </w:pPr>
    </w:p>
    <w:p w:rsidR="00027258" w:rsidRDefault="00027258" w:rsidP="00674018">
      <w:pPr>
        <w:ind w:left="720" w:hanging="742"/>
        <w:jc w:val="both"/>
        <w:rPr>
          <w:rFonts w:ascii="Century Gothic" w:hAnsi="Century Gothic"/>
        </w:rPr>
      </w:pPr>
    </w:p>
    <w:p w:rsidR="00027258" w:rsidRDefault="00027258" w:rsidP="00674018">
      <w:pPr>
        <w:ind w:left="720" w:hanging="742"/>
        <w:jc w:val="both"/>
        <w:rPr>
          <w:rFonts w:ascii="Century Gothic" w:hAnsi="Century Gothic"/>
        </w:rPr>
      </w:pPr>
    </w:p>
    <w:p w:rsidR="00027258" w:rsidRDefault="00027258" w:rsidP="00674018">
      <w:pPr>
        <w:ind w:left="720" w:hanging="742"/>
        <w:jc w:val="both"/>
        <w:rPr>
          <w:rFonts w:ascii="Century Gothic" w:hAnsi="Century Gothic"/>
        </w:rPr>
      </w:pPr>
    </w:p>
    <w:p w:rsidR="00027258" w:rsidRPr="00027258" w:rsidRDefault="00027258" w:rsidP="00027258">
      <w:pPr>
        <w:ind w:left="720" w:hanging="720"/>
        <w:jc w:val="both"/>
        <w:rPr>
          <w:rFonts w:ascii="Century Gothic" w:hAnsi="Century Gothic"/>
          <w:b/>
        </w:rPr>
      </w:pPr>
      <w:r w:rsidRPr="00027258">
        <w:rPr>
          <w:rFonts w:ascii="Century Gothic" w:hAnsi="Century Gothic"/>
          <w:b/>
        </w:rPr>
        <w:lastRenderedPageBreak/>
        <w:t>B</w:t>
      </w:r>
      <w:r w:rsidRPr="00027258">
        <w:rPr>
          <w:rFonts w:ascii="Century Gothic" w:hAnsi="Century Gothic"/>
          <w:b/>
        </w:rPr>
        <w:tab/>
        <w:t>EXPLANATORY NOTES PURSUANT TO APPENDIX 9B OF THE ACE MARKET LISTING REQUIREMENTS OF BURSA SECURITIES (CONT’D)</w:t>
      </w:r>
    </w:p>
    <w:p w:rsidR="00027258" w:rsidRPr="00027258" w:rsidRDefault="00027258" w:rsidP="00027258">
      <w:pPr>
        <w:pStyle w:val="BodyText"/>
        <w:ind w:left="1418"/>
        <w:rPr>
          <w:rFonts w:ascii="Century Gothic" w:hAnsi="Century Gothic" w:cs="Arial"/>
          <w:bCs/>
          <w:sz w:val="20"/>
        </w:rPr>
      </w:pPr>
    </w:p>
    <w:p w:rsidR="00027258" w:rsidRPr="00027258" w:rsidRDefault="00027258" w:rsidP="00027258">
      <w:pPr>
        <w:pStyle w:val="BodyText"/>
        <w:rPr>
          <w:rFonts w:ascii="Century Gothic" w:hAnsi="Century Gothic"/>
          <w:b/>
          <w:sz w:val="20"/>
        </w:rPr>
      </w:pPr>
      <w:r w:rsidRPr="00027258">
        <w:rPr>
          <w:rFonts w:ascii="Century Gothic" w:hAnsi="Century Gothic"/>
          <w:b/>
          <w:sz w:val="20"/>
        </w:rPr>
        <w:t>B8</w:t>
      </w:r>
      <w:r w:rsidRPr="00027258">
        <w:rPr>
          <w:rFonts w:ascii="Century Gothic" w:hAnsi="Century Gothic"/>
          <w:b/>
          <w:sz w:val="20"/>
        </w:rPr>
        <w:tab/>
        <w:t>Material Litigations (Cont’d)</w:t>
      </w:r>
    </w:p>
    <w:p w:rsidR="00027258" w:rsidRDefault="00027258" w:rsidP="00674018">
      <w:pPr>
        <w:ind w:left="720" w:hanging="742"/>
        <w:jc w:val="both"/>
        <w:rPr>
          <w:rFonts w:ascii="Century Gothic" w:hAnsi="Century Gothic"/>
        </w:rPr>
      </w:pPr>
    </w:p>
    <w:p w:rsidR="00027258" w:rsidRPr="00A06E4C" w:rsidRDefault="00027258" w:rsidP="00674018">
      <w:pPr>
        <w:ind w:left="720" w:hanging="742"/>
        <w:jc w:val="both"/>
        <w:rPr>
          <w:rFonts w:ascii="Century Gothic" w:hAnsi="Century Gothic"/>
        </w:rPr>
      </w:pPr>
    </w:p>
    <w:p w:rsidR="00674018" w:rsidRPr="00A06E4C" w:rsidRDefault="00674018" w:rsidP="00674018">
      <w:pPr>
        <w:ind w:left="720" w:hanging="742"/>
        <w:jc w:val="both"/>
        <w:rPr>
          <w:rFonts w:ascii="Century Gothic" w:hAnsi="Century Gothic"/>
        </w:rPr>
      </w:pPr>
      <w:r w:rsidRPr="00A06E4C">
        <w:rPr>
          <w:rFonts w:ascii="Century Gothic" w:hAnsi="Century Gothic"/>
        </w:rPr>
        <w:t xml:space="preserve"> </w:t>
      </w:r>
      <w:r>
        <w:rPr>
          <w:rFonts w:ascii="Century Gothic" w:hAnsi="Century Gothic"/>
        </w:rPr>
        <w:tab/>
      </w:r>
      <w:r>
        <w:rPr>
          <w:rFonts w:ascii="Century Gothic" w:hAnsi="Century Gothic"/>
        </w:rPr>
        <w:tab/>
      </w:r>
      <w:r w:rsidRPr="00A06E4C">
        <w:rPr>
          <w:rFonts w:ascii="Century Gothic" w:hAnsi="Century Gothic"/>
        </w:rPr>
        <w:t>b) conspired to cause losses to the company, the details of which are as follows.</w:t>
      </w:r>
    </w:p>
    <w:p w:rsidR="00674018" w:rsidRPr="00A06E4C" w:rsidRDefault="00674018" w:rsidP="00674018">
      <w:pPr>
        <w:ind w:left="720" w:hanging="742"/>
        <w:jc w:val="both"/>
        <w:rPr>
          <w:rFonts w:ascii="Century Gothic" w:hAnsi="Century Gothic"/>
        </w:rPr>
      </w:pPr>
    </w:p>
    <w:p w:rsidR="00674018" w:rsidRDefault="00674018" w:rsidP="00674018">
      <w:pPr>
        <w:ind w:left="1843" w:hanging="142"/>
        <w:jc w:val="both"/>
        <w:rPr>
          <w:rFonts w:ascii="Century Gothic" w:hAnsi="Century Gothic"/>
        </w:rPr>
      </w:pPr>
      <w:r w:rsidRPr="00A06E4C">
        <w:rPr>
          <w:rFonts w:ascii="Century Gothic" w:hAnsi="Century Gothic"/>
        </w:rPr>
        <w:t xml:space="preserve">i) Based on representations and inducements made by the ex CEO, the Company had entered into an agreement with SCSSB worth RM13M </w:t>
      </w:r>
      <w:r>
        <w:rPr>
          <w:rFonts w:ascii="Century Gothic" w:hAnsi="Century Gothic"/>
        </w:rPr>
        <w:t xml:space="preserve">to the Company on 7 March 2014. </w:t>
      </w:r>
      <w:r w:rsidRPr="00A06E4C">
        <w:rPr>
          <w:rFonts w:ascii="Century Gothic" w:hAnsi="Century Gothic"/>
        </w:rPr>
        <w:t>The Company had subsequent entered into another agreement with SCSSB worth RM 5.5M to the Company on 20.3.2014.</w:t>
      </w:r>
    </w:p>
    <w:p w:rsidR="00674018" w:rsidRPr="00A06E4C" w:rsidRDefault="00674018" w:rsidP="00674018">
      <w:pPr>
        <w:ind w:left="720"/>
        <w:jc w:val="both"/>
        <w:rPr>
          <w:rFonts w:ascii="Century Gothic" w:hAnsi="Century Gothic"/>
        </w:rPr>
      </w:pPr>
    </w:p>
    <w:p w:rsidR="00674018" w:rsidRDefault="00674018" w:rsidP="00674018">
      <w:pPr>
        <w:ind w:left="1843" w:hanging="142"/>
        <w:jc w:val="both"/>
        <w:rPr>
          <w:rFonts w:ascii="Century Gothic" w:hAnsi="Century Gothic"/>
        </w:rPr>
      </w:pPr>
      <w:r w:rsidRPr="00A06E4C">
        <w:rPr>
          <w:rFonts w:ascii="Century Gothic" w:hAnsi="Century Gothic"/>
        </w:rPr>
        <w:t xml:space="preserve">ii)Arising from the agreements signed and under the directions of the ex CEO the Company had; </w:t>
      </w:r>
    </w:p>
    <w:p w:rsidR="00674018" w:rsidRDefault="00674018" w:rsidP="00674018">
      <w:pPr>
        <w:ind w:left="720"/>
        <w:jc w:val="both"/>
        <w:rPr>
          <w:rFonts w:ascii="Century Gothic" w:hAnsi="Century Gothic"/>
        </w:rPr>
      </w:pPr>
    </w:p>
    <w:p w:rsidR="00674018" w:rsidRDefault="00674018" w:rsidP="00674018">
      <w:pPr>
        <w:ind w:left="3600" w:hanging="1757"/>
        <w:jc w:val="both"/>
        <w:rPr>
          <w:rFonts w:ascii="Century Gothic" w:hAnsi="Century Gothic"/>
        </w:rPr>
      </w:pPr>
      <w:r w:rsidRPr="00A06E4C">
        <w:rPr>
          <w:rFonts w:ascii="Century Gothic" w:hAnsi="Century Gothic"/>
        </w:rPr>
        <w:t>a) Incurred RM2.27M in contract expenses which was invoiced to SCSSB</w:t>
      </w:r>
    </w:p>
    <w:p w:rsidR="00674018" w:rsidRPr="00A06E4C" w:rsidRDefault="00674018" w:rsidP="00674018">
      <w:pPr>
        <w:ind w:left="720"/>
        <w:jc w:val="both"/>
        <w:rPr>
          <w:rFonts w:ascii="Century Gothic" w:hAnsi="Century Gothic"/>
        </w:rPr>
      </w:pPr>
    </w:p>
    <w:p w:rsidR="00674018" w:rsidRDefault="00674018" w:rsidP="00674018">
      <w:pPr>
        <w:ind w:left="3600" w:hanging="1757"/>
        <w:jc w:val="both"/>
        <w:rPr>
          <w:rFonts w:ascii="Century Gothic" w:hAnsi="Century Gothic"/>
        </w:rPr>
      </w:pPr>
      <w:r w:rsidRPr="00A06E4C">
        <w:rPr>
          <w:rFonts w:ascii="Century Gothic" w:hAnsi="Century Gothic"/>
        </w:rPr>
        <w:t>b) Advanced a total of RM1.33M in expenses and mobilization fees to 3rd parties.</w:t>
      </w:r>
    </w:p>
    <w:p w:rsidR="00674018" w:rsidRDefault="00674018" w:rsidP="00674018">
      <w:pPr>
        <w:ind w:left="720"/>
        <w:jc w:val="both"/>
        <w:rPr>
          <w:rFonts w:ascii="Century Gothic" w:hAnsi="Century Gothic"/>
        </w:rPr>
      </w:pPr>
    </w:p>
    <w:p w:rsidR="00674018" w:rsidRDefault="00674018" w:rsidP="00674018">
      <w:pPr>
        <w:ind w:left="1843"/>
        <w:jc w:val="both"/>
        <w:rPr>
          <w:rFonts w:ascii="Century Gothic" w:hAnsi="Century Gothic"/>
        </w:rPr>
      </w:pPr>
      <w:r w:rsidRPr="00A06E4C">
        <w:rPr>
          <w:rFonts w:ascii="Century Gothic" w:hAnsi="Century Gothic"/>
        </w:rPr>
        <w:t>The above amounts totaling RM3.6M have not been recovered as at to</w:t>
      </w:r>
      <w:r>
        <w:rPr>
          <w:rFonts w:ascii="Century Gothic" w:hAnsi="Century Gothic"/>
        </w:rPr>
        <w:t xml:space="preserve"> </w:t>
      </w:r>
      <w:r w:rsidRPr="00A06E4C">
        <w:rPr>
          <w:rFonts w:ascii="Century Gothic" w:hAnsi="Century Gothic"/>
        </w:rPr>
        <w:t>date and were fully provided for in the Company’s accounts as at 30.</w:t>
      </w:r>
      <w:r>
        <w:rPr>
          <w:rFonts w:ascii="Century Gothic" w:hAnsi="Century Gothic"/>
        </w:rPr>
        <w:t>9</w:t>
      </w:r>
      <w:r w:rsidRPr="00A06E4C">
        <w:rPr>
          <w:rFonts w:ascii="Century Gothic" w:hAnsi="Century Gothic"/>
        </w:rPr>
        <w:t>.2015.</w:t>
      </w:r>
    </w:p>
    <w:p w:rsidR="00674018" w:rsidRPr="00A06E4C" w:rsidRDefault="00674018" w:rsidP="00674018">
      <w:pPr>
        <w:ind w:left="720"/>
        <w:jc w:val="both"/>
        <w:rPr>
          <w:rFonts w:ascii="Century Gothic" w:hAnsi="Century Gothic"/>
        </w:rPr>
      </w:pPr>
    </w:p>
    <w:p w:rsidR="00674018" w:rsidRDefault="00674018" w:rsidP="00674018">
      <w:pPr>
        <w:ind w:left="1843" w:hanging="283"/>
        <w:jc w:val="both"/>
        <w:rPr>
          <w:rFonts w:ascii="Century Gothic" w:hAnsi="Century Gothic"/>
        </w:rPr>
      </w:pPr>
      <w:r w:rsidRPr="00A06E4C">
        <w:rPr>
          <w:rFonts w:ascii="Century Gothic" w:hAnsi="Century Gothic"/>
        </w:rPr>
        <w:t>iii) The ex CFO had misused the Company’s corporate credit card for personal use</w:t>
      </w:r>
      <w:r>
        <w:rPr>
          <w:rFonts w:ascii="Century Gothic" w:hAnsi="Century Gothic"/>
        </w:rPr>
        <w:t xml:space="preserve"> </w:t>
      </w:r>
      <w:r w:rsidRPr="00A06E4C">
        <w:rPr>
          <w:rFonts w:ascii="Century Gothic" w:hAnsi="Century Gothic"/>
        </w:rPr>
        <w:t>amounting to RM47,900 and that such misuse could not have occ</w:t>
      </w:r>
      <w:r>
        <w:rPr>
          <w:rFonts w:ascii="Century Gothic" w:hAnsi="Century Gothic"/>
        </w:rPr>
        <w:t xml:space="preserve">urred without the cooperation </w:t>
      </w:r>
      <w:r w:rsidRPr="00A06E4C">
        <w:rPr>
          <w:rFonts w:ascii="Century Gothic" w:hAnsi="Century Gothic"/>
        </w:rPr>
        <w:t>of the ex CEO.</w:t>
      </w:r>
    </w:p>
    <w:p w:rsidR="00674018" w:rsidRDefault="00674018" w:rsidP="00674018">
      <w:pPr>
        <w:ind w:left="1701" w:hanging="284"/>
        <w:jc w:val="both"/>
        <w:rPr>
          <w:rFonts w:ascii="Century Gothic" w:hAnsi="Century Gothic"/>
        </w:rPr>
      </w:pPr>
    </w:p>
    <w:p w:rsidR="00674018" w:rsidRDefault="00674018" w:rsidP="00674018">
      <w:pPr>
        <w:ind w:left="1843" w:hanging="283"/>
        <w:jc w:val="both"/>
        <w:rPr>
          <w:rFonts w:ascii="Century Gothic" w:hAnsi="Century Gothic"/>
        </w:rPr>
      </w:pPr>
      <w:r w:rsidRPr="00A06E4C">
        <w:rPr>
          <w:rFonts w:ascii="Century Gothic" w:hAnsi="Century Gothic"/>
        </w:rPr>
        <w:t>iv)</w:t>
      </w:r>
      <w:r>
        <w:rPr>
          <w:rFonts w:ascii="Century Gothic" w:hAnsi="Century Gothic"/>
        </w:rPr>
        <w:t xml:space="preserve"> </w:t>
      </w:r>
      <w:r w:rsidRPr="00A06E4C">
        <w:rPr>
          <w:rFonts w:ascii="Century Gothic" w:hAnsi="Century Gothic"/>
        </w:rPr>
        <w:t>The ex CEO has failed to return the Company’s laptop upon his resignation despite several reminders. The laptop contains confidential information and trade secret of the Company;</w:t>
      </w:r>
    </w:p>
    <w:p w:rsidR="00674018" w:rsidRDefault="00674018" w:rsidP="00674018">
      <w:pPr>
        <w:jc w:val="both"/>
        <w:rPr>
          <w:rFonts w:ascii="Century Gothic" w:hAnsi="Century Gothic"/>
        </w:rPr>
      </w:pPr>
    </w:p>
    <w:p w:rsidR="00674018" w:rsidRDefault="00674018" w:rsidP="00674018">
      <w:pPr>
        <w:ind w:left="1843" w:hanging="283"/>
        <w:jc w:val="both"/>
        <w:rPr>
          <w:rFonts w:ascii="Century Gothic" w:hAnsi="Century Gothic"/>
        </w:rPr>
      </w:pPr>
      <w:r w:rsidRPr="00A06E4C">
        <w:rPr>
          <w:rFonts w:ascii="Century Gothic" w:hAnsi="Century Gothic"/>
        </w:rPr>
        <w:t xml:space="preserve">v) In furtherance to the conspiracy and upon the ex CEO’s discovery of the Company’s investigation, the ex CEO had caused the issuance of Requisition Notice </w:t>
      </w:r>
      <w:r>
        <w:rPr>
          <w:rFonts w:ascii="Century Gothic" w:hAnsi="Century Gothic"/>
        </w:rPr>
        <w:t xml:space="preserve">(“Requisition”) on </w:t>
      </w:r>
      <w:r w:rsidRPr="00A06E4C">
        <w:rPr>
          <w:rFonts w:ascii="Century Gothic" w:hAnsi="Century Gothic"/>
        </w:rPr>
        <w:t>23.7.2015 for an EGM, to remove all existing Directors (refer to the Company’s announcement date 24 July 2015 and 29 July 2015).</w:t>
      </w:r>
    </w:p>
    <w:p w:rsidR="00674018" w:rsidRDefault="00674018" w:rsidP="00674018">
      <w:pPr>
        <w:ind w:left="1985" w:hanging="284"/>
        <w:jc w:val="both"/>
        <w:rPr>
          <w:rFonts w:ascii="Century Gothic" w:hAnsi="Century Gothic"/>
        </w:rPr>
      </w:pPr>
    </w:p>
    <w:p w:rsidR="00674018" w:rsidRDefault="00674018" w:rsidP="00674018">
      <w:pPr>
        <w:ind w:left="720" w:firstLine="981"/>
        <w:jc w:val="both"/>
        <w:rPr>
          <w:rFonts w:ascii="Century Gothic" w:hAnsi="Century Gothic"/>
        </w:rPr>
      </w:pPr>
      <w:r w:rsidRPr="00A06E4C">
        <w:rPr>
          <w:rFonts w:ascii="Century Gothic" w:hAnsi="Century Gothic"/>
        </w:rPr>
        <w:t>Consequent to the above, the Company is claiming;</w:t>
      </w:r>
    </w:p>
    <w:p w:rsidR="00674018" w:rsidRPr="00A06E4C" w:rsidRDefault="00674018" w:rsidP="00674018">
      <w:pPr>
        <w:ind w:left="720"/>
        <w:jc w:val="both"/>
        <w:rPr>
          <w:rFonts w:ascii="Century Gothic" w:hAnsi="Century Gothic"/>
        </w:rPr>
      </w:pPr>
    </w:p>
    <w:p w:rsidR="00674018" w:rsidRPr="00A06E4C" w:rsidRDefault="00674018" w:rsidP="00674018">
      <w:pPr>
        <w:ind w:left="720"/>
        <w:jc w:val="both"/>
        <w:rPr>
          <w:rFonts w:ascii="Century Gothic" w:hAnsi="Century Gothic"/>
        </w:rPr>
      </w:pPr>
      <w:r w:rsidRPr="00A06E4C">
        <w:rPr>
          <w:rFonts w:ascii="Century Gothic" w:hAnsi="Century Gothic"/>
        </w:rPr>
        <w:t xml:space="preserve">   </w:t>
      </w:r>
      <w:r>
        <w:rPr>
          <w:rFonts w:ascii="Century Gothic" w:hAnsi="Century Gothic"/>
        </w:rPr>
        <w:tab/>
      </w:r>
      <w:r>
        <w:rPr>
          <w:rFonts w:ascii="Century Gothic" w:hAnsi="Century Gothic"/>
        </w:rPr>
        <w:tab/>
      </w:r>
      <w:r w:rsidRPr="00A06E4C">
        <w:rPr>
          <w:rFonts w:ascii="Century Gothic" w:hAnsi="Century Gothic"/>
        </w:rPr>
        <w:t>i) RM3.6M from the ex CEO, ex CFO and SCSSB  jointly and severally;</w:t>
      </w:r>
    </w:p>
    <w:p w:rsidR="00674018" w:rsidRPr="00A06E4C" w:rsidRDefault="00674018" w:rsidP="00674018">
      <w:pPr>
        <w:ind w:left="720"/>
        <w:jc w:val="both"/>
        <w:rPr>
          <w:rFonts w:ascii="Century Gothic" w:hAnsi="Century Gothic"/>
        </w:rPr>
      </w:pPr>
    </w:p>
    <w:p w:rsidR="00674018" w:rsidRPr="00A06E4C" w:rsidRDefault="00674018" w:rsidP="00674018">
      <w:pPr>
        <w:ind w:left="720"/>
        <w:jc w:val="both"/>
        <w:rPr>
          <w:rFonts w:ascii="Century Gothic" w:hAnsi="Century Gothic"/>
        </w:rPr>
      </w:pPr>
      <w:r w:rsidRPr="00A06E4C">
        <w:rPr>
          <w:rFonts w:ascii="Century Gothic" w:hAnsi="Century Gothic"/>
        </w:rPr>
        <w:t xml:space="preserve">   </w:t>
      </w:r>
      <w:r>
        <w:rPr>
          <w:rFonts w:ascii="Century Gothic" w:hAnsi="Century Gothic"/>
        </w:rPr>
        <w:tab/>
      </w:r>
      <w:r>
        <w:rPr>
          <w:rFonts w:ascii="Century Gothic" w:hAnsi="Century Gothic"/>
        </w:rPr>
        <w:tab/>
      </w:r>
      <w:r w:rsidRPr="00A06E4C">
        <w:rPr>
          <w:rFonts w:ascii="Century Gothic" w:hAnsi="Century Gothic"/>
        </w:rPr>
        <w:t>ii) RM47,900 from the ex CEO and ex CFO  jointly and severally;</w:t>
      </w:r>
    </w:p>
    <w:p w:rsidR="00674018" w:rsidRPr="00A06E4C" w:rsidRDefault="00674018" w:rsidP="00674018">
      <w:pPr>
        <w:ind w:left="720"/>
        <w:jc w:val="both"/>
        <w:rPr>
          <w:rFonts w:ascii="Century Gothic" w:hAnsi="Century Gothic"/>
        </w:rPr>
      </w:pPr>
    </w:p>
    <w:p w:rsidR="00674018" w:rsidRPr="00A06E4C" w:rsidRDefault="00674018" w:rsidP="00674018">
      <w:pPr>
        <w:ind w:left="2160"/>
        <w:jc w:val="both"/>
        <w:rPr>
          <w:rFonts w:ascii="Century Gothic" w:hAnsi="Century Gothic"/>
        </w:rPr>
      </w:pPr>
      <w:r w:rsidRPr="00A06E4C">
        <w:rPr>
          <w:rFonts w:ascii="Century Gothic" w:hAnsi="Century Gothic"/>
        </w:rPr>
        <w:t>iii) General damages as a result of the unlawful conspiracy between the ex CEO and ex CFO;</w:t>
      </w:r>
    </w:p>
    <w:p w:rsidR="00674018" w:rsidRPr="00A06E4C" w:rsidRDefault="00674018" w:rsidP="00674018">
      <w:pPr>
        <w:ind w:left="720"/>
        <w:jc w:val="both"/>
        <w:rPr>
          <w:rFonts w:ascii="Century Gothic" w:hAnsi="Century Gothic"/>
        </w:rPr>
      </w:pPr>
    </w:p>
    <w:p w:rsidR="00674018" w:rsidRPr="00A06E4C" w:rsidRDefault="00674018" w:rsidP="00674018">
      <w:pPr>
        <w:ind w:left="2160"/>
        <w:jc w:val="both"/>
        <w:rPr>
          <w:rFonts w:ascii="Century Gothic" w:hAnsi="Century Gothic"/>
        </w:rPr>
      </w:pPr>
      <w:r w:rsidRPr="00A06E4C">
        <w:rPr>
          <w:rFonts w:ascii="Century Gothic" w:hAnsi="Century Gothic"/>
        </w:rPr>
        <w:t>iv) A declaration that the ex CEO had breached his fiduciary duties towards the Company;</w:t>
      </w:r>
    </w:p>
    <w:p w:rsidR="00674018" w:rsidRPr="00A06E4C" w:rsidRDefault="00674018" w:rsidP="00674018">
      <w:pPr>
        <w:ind w:left="720"/>
        <w:jc w:val="both"/>
        <w:rPr>
          <w:rFonts w:ascii="Century Gothic" w:hAnsi="Century Gothic"/>
        </w:rPr>
      </w:pPr>
    </w:p>
    <w:p w:rsidR="00674018" w:rsidRPr="00A06E4C" w:rsidRDefault="00674018" w:rsidP="00674018">
      <w:pPr>
        <w:ind w:left="2160"/>
        <w:jc w:val="both"/>
        <w:rPr>
          <w:rFonts w:ascii="Century Gothic" w:hAnsi="Century Gothic"/>
        </w:rPr>
      </w:pPr>
      <w:r w:rsidRPr="00A06E4C">
        <w:rPr>
          <w:rFonts w:ascii="Century Gothic" w:hAnsi="Century Gothic"/>
        </w:rPr>
        <w:t>v) An order that the ex CEO pays general damages to the Company and that such damages be assessed by the Court;</w:t>
      </w:r>
    </w:p>
    <w:p w:rsidR="00674018" w:rsidRPr="00A06E4C" w:rsidRDefault="00674018" w:rsidP="00674018">
      <w:pPr>
        <w:ind w:left="720"/>
        <w:jc w:val="both"/>
        <w:rPr>
          <w:rFonts w:ascii="Century Gothic" w:hAnsi="Century Gothic"/>
        </w:rPr>
      </w:pPr>
    </w:p>
    <w:p w:rsidR="00674018" w:rsidRPr="00A06E4C" w:rsidRDefault="00674018" w:rsidP="00674018">
      <w:pPr>
        <w:ind w:left="2160"/>
        <w:jc w:val="both"/>
        <w:rPr>
          <w:rFonts w:ascii="Century Gothic" w:hAnsi="Century Gothic"/>
        </w:rPr>
      </w:pPr>
      <w:r w:rsidRPr="00A06E4C">
        <w:rPr>
          <w:rFonts w:ascii="Century Gothic" w:hAnsi="Century Gothic"/>
        </w:rPr>
        <w:t>vi) A declaration that the Requisition by the ex CEO dated 23.7.2015 is null and void.</w:t>
      </w:r>
    </w:p>
    <w:p w:rsidR="00674018" w:rsidRDefault="00674018" w:rsidP="00674018">
      <w:pPr>
        <w:ind w:left="720"/>
        <w:jc w:val="both"/>
        <w:rPr>
          <w:rFonts w:ascii="Century Gothic" w:hAnsi="Century Gothic"/>
        </w:rPr>
      </w:pPr>
    </w:p>
    <w:p w:rsidR="00027258" w:rsidRDefault="00027258" w:rsidP="00674018">
      <w:pPr>
        <w:ind w:left="720"/>
        <w:jc w:val="both"/>
        <w:rPr>
          <w:rFonts w:ascii="Century Gothic" w:hAnsi="Century Gothic"/>
        </w:rPr>
      </w:pPr>
    </w:p>
    <w:p w:rsidR="00027258" w:rsidRDefault="00027258" w:rsidP="00674018">
      <w:pPr>
        <w:ind w:left="720"/>
        <w:jc w:val="both"/>
        <w:rPr>
          <w:rFonts w:ascii="Century Gothic" w:hAnsi="Century Gothic"/>
        </w:rPr>
      </w:pPr>
    </w:p>
    <w:p w:rsidR="00027258" w:rsidRDefault="00027258" w:rsidP="00674018">
      <w:pPr>
        <w:ind w:left="720"/>
        <w:jc w:val="both"/>
        <w:rPr>
          <w:rFonts w:ascii="Century Gothic" w:hAnsi="Century Gothic"/>
        </w:rPr>
      </w:pPr>
    </w:p>
    <w:p w:rsidR="00027258" w:rsidRPr="00027258" w:rsidRDefault="00027258" w:rsidP="00027258">
      <w:pPr>
        <w:ind w:left="720" w:hanging="720"/>
        <w:jc w:val="both"/>
        <w:rPr>
          <w:rFonts w:ascii="Century Gothic" w:hAnsi="Century Gothic"/>
          <w:b/>
        </w:rPr>
      </w:pPr>
      <w:r w:rsidRPr="00027258">
        <w:rPr>
          <w:rFonts w:ascii="Century Gothic" w:hAnsi="Century Gothic"/>
          <w:b/>
        </w:rPr>
        <w:lastRenderedPageBreak/>
        <w:t>B</w:t>
      </w:r>
      <w:r w:rsidRPr="00027258">
        <w:rPr>
          <w:rFonts w:ascii="Century Gothic" w:hAnsi="Century Gothic"/>
          <w:b/>
        </w:rPr>
        <w:tab/>
        <w:t>EXPLANATORY NOTES PURSUANT TO APPENDIX 9B OF THE ACE MARKET LISTING REQUIREMENTS OF BURSA SECURITIES (CONT’D)</w:t>
      </w:r>
    </w:p>
    <w:p w:rsidR="00027258" w:rsidRPr="00027258" w:rsidRDefault="00027258" w:rsidP="00027258">
      <w:pPr>
        <w:pStyle w:val="BodyText"/>
        <w:ind w:left="1418"/>
        <w:rPr>
          <w:rFonts w:ascii="Century Gothic" w:hAnsi="Century Gothic" w:cs="Arial"/>
          <w:bCs/>
          <w:sz w:val="20"/>
        </w:rPr>
      </w:pPr>
    </w:p>
    <w:p w:rsidR="00027258" w:rsidRPr="00027258" w:rsidRDefault="00027258" w:rsidP="00027258">
      <w:pPr>
        <w:pStyle w:val="BodyText"/>
        <w:rPr>
          <w:rFonts w:ascii="Century Gothic" w:hAnsi="Century Gothic"/>
          <w:b/>
          <w:sz w:val="20"/>
        </w:rPr>
      </w:pPr>
      <w:r w:rsidRPr="00027258">
        <w:rPr>
          <w:rFonts w:ascii="Century Gothic" w:hAnsi="Century Gothic"/>
          <w:b/>
          <w:sz w:val="20"/>
        </w:rPr>
        <w:t>B8</w:t>
      </w:r>
      <w:r w:rsidRPr="00027258">
        <w:rPr>
          <w:rFonts w:ascii="Century Gothic" w:hAnsi="Century Gothic"/>
          <w:b/>
          <w:sz w:val="20"/>
        </w:rPr>
        <w:tab/>
        <w:t>Material Litigations (Cont’d)</w:t>
      </w:r>
    </w:p>
    <w:p w:rsidR="00027258" w:rsidRPr="00A06E4C" w:rsidRDefault="00027258" w:rsidP="00674018">
      <w:pPr>
        <w:ind w:left="720"/>
        <w:jc w:val="both"/>
        <w:rPr>
          <w:rFonts w:ascii="Century Gothic" w:hAnsi="Century Gothic"/>
        </w:rPr>
      </w:pPr>
    </w:p>
    <w:p w:rsidR="00674018" w:rsidRPr="00A06E4C" w:rsidRDefault="00674018" w:rsidP="00674018">
      <w:pPr>
        <w:ind w:left="2160"/>
        <w:jc w:val="both"/>
        <w:rPr>
          <w:rFonts w:ascii="Century Gothic" w:hAnsi="Century Gothic"/>
        </w:rPr>
      </w:pPr>
      <w:r w:rsidRPr="00A06E4C">
        <w:rPr>
          <w:rFonts w:ascii="Century Gothic" w:hAnsi="Century Gothic"/>
        </w:rPr>
        <w:t>vii) An order that the ex CEO, including his agents, representatives and proxies be prohibited from taking further action in relation to the Requisition .</w:t>
      </w:r>
    </w:p>
    <w:p w:rsidR="00674018" w:rsidRPr="00A06E4C" w:rsidRDefault="00674018" w:rsidP="00674018">
      <w:pPr>
        <w:ind w:left="720"/>
        <w:jc w:val="both"/>
        <w:rPr>
          <w:rFonts w:ascii="Century Gothic" w:hAnsi="Century Gothic"/>
        </w:rPr>
      </w:pPr>
    </w:p>
    <w:p w:rsidR="00674018" w:rsidRPr="00A06E4C" w:rsidRDefault="00674018" w:rsidP="00674018">
      <w:pPr>
        <w:ind w:left="2160"/>
        <w:jc w:val="both"/>
        <w:rPr>
          <w:rFonts w:ascii="Century Gothic" w:hAnsi="Century Gothic"/>
        </w:rPr>
      </w:pPr>
      <w:r w:rsidRPr="00A06E4C">
        <w:rPr>
          <w:rFonts w:ascii="Century Gothic" w:hAnsi="Century Gothic"/>
        </w:rPr>
        <w:t>viii) A declaration that the request by the ex CEO dated 27.8.2015 and 1.9.15 for the record of depositors (ROD) of the Company is null and void.</w:t>
      </w:r>
    </w:p>
    <w:p w:rsidR="00674018" w:rsidRPr="00A06E4C" w:rsidRDefault="00674018" w:rsidP="00674018">
      <w:pPr>
        <w:ind w:left="720"/>
        <w:jc w:val="both"/>
        <w:rPr>
          <w:rFonts w:ascii="Century Gothic" w:hAnsi="Century Gothic"/>
        </w:rPr>
      </w:pPr>
    </w:p>
    <w:p w:rsidR="00674018" w:rsidRPr="00A06E4C" w:rsidRDefault="00674018" w:rsidP="00674018">
      <w:pPr>
        <w:ind w:left="2160"/>
        <w:jc w:val="both"/>
        <w:rPr>
          <w:rFonts w:ascii="Century Gothic" w:hAnsi="Century Gothic"/>
        </w:rPr>
      </w:pPr>
      <w:r w:rsidRPr="00A06E4C">
        <w:rPr>
          <w:rFonts w:ascii="Century Gothic" w:hAnsi="Century Gothic"/>
        </w:rPr>
        <w:t>ix) An order that the ex CEO, including his agents, representatives and proxies be prohibited from taking further action in relation to the request for the ROD.</w:t>
      </w:r>
    </w:p>
    <w:p w:rsidR="00674018" w:rsidRPr="00A06E4C" w:rsidRDefault="00674018" w:rsidP="00674018">
      <w:pPr>
        <w:ind w:left="720"/>
        <w:jc w:val="both"/>
        <w:rPr>
          <w:rFonts w:ascii="Century Gothic" w:hAnsi="Century Gothic"/>
        </w:rPr>
      </w:pPr>
    </w:p>
    <w:p w:rsidR="00674018" w:rsidRPr="00A06E4C" w:rsidRDefault="00674018" w:rsidP="00674018">
      <w:pPr>
        <w:ind w:left="720"/>
        <w:jc w:val="both"/>
        <w:rPr>
          <w:rFonts w:ascii="Century Gothic" w:hAnsi="Century Gothic"/>
        </w:rPr>
      </w:pPr>
      <w:r w:rsidRPr="00A06E4C">
        <w:rPr>
          <w:rFonts w:ascii="Century Gothic" w:hAnsi="Century Gothic"/>
        </w:rPr>
        <w:t xml:space="preserve">   </w:t>
      </w:r>
      <w:r>
        <w:rPr>
          <w:rFonts w:ascii="Century Gothic" w:hAnsi="Century Gothic"/>
        </w:rPr>
        <w:tab/>
      </w:r>
      <w:r>
        <w:rPr>
          <w:rFonts w:ascii="Century Gothic" w:hAnsi="Century Gothic"/>
        </w:rPr>
        <w:tab/>
      </w:r>
      <w:r w:rsidRPr="00A06E4C">
        <w:rPr>
          <w:rFonts w:ascii="Century Gothic" w:hAnsi="Century Gothic"/>
        </w:rPr>
        <w:t>x) An order that the ex CEO return the Company’s laptop.</w:t>
      </w:r>
    </w:p>
    <w:p w:rsidR="00674018" w:rsidRPr="00A06E4C" w:rsidRDefault="00674018" w:rsidP="00674018">
      <w:pPr>
        <w:ind w:left="720"/>
        <w:jc w:val="both"/>
        <w:rPr>
          <w:rFonts w:ascii="Century Gothic" w:hAnsi="Century Gothic"/>
        </w:rPr>
      </w:pPr>
    </w:p>
    <w:p w:rsidR="00674018" w:rsidRDefault="00674018" w:rsidP="00674018">
      <w:pPr>
        <w:ind w:left="720"/>
        <w:jc w:val="both"/>
        <w:rPr>
          <w:rFonts w:ascii="Century Gothic" w:hAnsi="Century Gothic"/>
        </w:rPr>
      </w:pPr>
      <w:r w:rsidRPr="00A06E4C">
        <w:rPr>
          <w:rFonts w:ascii="Century Gothic" w:hAnsi="Century Gothic"/>
        </w:rPr>
        <w:t xml:space="preserve">  </w:t>
      </w:r>
      <w:r>
        <w:rPr>
          <w:rFonts w:ascii="Century Gothic" w:hAnsi="Century Gothic"/>
        </w:rPr>
        <w:tab/>
      </w:r>
      <w:r>
        <w:rPr>
          <w:rFonts w:ascii="Century Gothic" w:hAnsi="Century Gothic"/>
        </w:rPr>
        <w:tab/>
      </w:r>
      <w:r w:rsidRPr="00A06E4C">
        <w:rPr>
          <w:rFonts w:ascii="Century Gothic" w:hAnsi="Century Gothic"/>
        </w:rPr>
        <w:t>xi) A declaration that the ex CFO has breached her duties and responsibilities</w:t>
      </w:r>
    </w:p>
    <w:p w:rsidR="00674018" w:rsidRDefault="00674018" w:rsidP="00674018">
      <w:pPr>
        <w:ind w:left="720"/>
        <w:jc w:val="both"/>
        <w:rPr>
          <w:rFonts w:ascii="Century Gothic" w:hAnsi="Century Gothic"/>
        </w:rPr>
      </w:pPr>
    </w:p>
    <w:p w:rsidR="00674018" w:rsidRPr="00A06E4C" w:rsidRDefault="00674018" w:rsidP="00674018">
      <w:pPr>
        <w:ind w:left="2160"/>
        <w:jc w:val="both"/>
        <w:rPr>
          <w:rFonts w:ascii="Century Gothic" w:hAnsi="Century Gothic"/>
        </w:rPr>
      </w:pPr>
      <w:r w:rsidRPr="00A06E4C">
        <w:rPr>
          <w:rFonts w:ascii="Century Gothic" w:hAnsi="Century Gothic"/>
        </w:rPr>
        <w:t>xii) An order that the ex CFO pays general damages to the company and those damages be assessed by the Court.</w:t>
      </w:r>
    </w:p>
    <w:p w:rsidR="00674018" w:rsidRPr="00A06E4C" w:rsidRDefault="00674018" w:rsidP="00674018">
      <w:pPr>
        <w:ind w:left="720"/>
        <w:jc w:val="both"/>
        <w:rPr>
          <w:rFonts w:ascii="Century Gothic" w:hAnsi="Century Gothic"/>
        </w:rPr>
      </w:pPr>
    </w:p>
    <w:p w:rsidR="00674018" w:rsidRPr="00A06E4C" w:rsidRDefault="00674018" w:rsidP="00674018">
      <w:pPr>
        <w:ind w:left="720"/>
        <w:jc w:val="both"/>
        <w:rPr>
          <w:rFonts w:ascii="Century Gothic" w:hAnsi="Century Gothic"/>
        </w:rPr>
      </w:pPr>
      <w:r w:rsidRPr="00A06E4C">
        <w:rPr>
          <w:rFonts w:ascii="Century Gothic" w:hAnsi="Century Gothic"/>
        </w:rPr>
        <w:t xml:space="preserve"> </w:t>
      </w:r>
      <w:r>
        <w:rPr>
          <w:rFonts w:ascii="Century Gothic" w:hAnsi="Century Gothic"/>
        </w:rPr>
        <w:tab/>
      </w:r>
      <w:r>
        <w:rPr>
          <w:rFonts w:ascii="Century Gothic" w:hAnsi="Century Gothic"/>
        </w:rPr>
        <w:tab/>
      </w:r>
      <w:r w:rsidRPr="00A06E4C">
        <w:rPr>
          <w:rFonts w:ascii="Century Gothic" w:hAnsi="Century Gothic"/>
        </w:rPr>
        <w:t>xiii) Against the ex CEO, ex CFO and SCSSB;</w:t>
      </w:r>
    </w:p>
    <w:p w:rsidR="00674018" w:rsidRPr="00A06E4C" w:rsidRDefault="00674018" w:rsidP="00674018">
      <w:pPr>
        <w:ind w:left="720"/>
        <w:jc w:val="both"/>
        <w:rPr>
          <w:rFonts w:ascii="Century Gothic" w:hAnsi="Century Gothic"/>
        </w:rPr>
      </w:pPr>
    </w:p>
    <w:p w:rsidR="00674018" w:rsidRPr="00A06E4C" w:rsidRDefault="00674018" w:rsidP="00674018">
      <w:pPr>
        <w:ind w:left="2880"/>
        <w:jc w:val="both"/>
        <w:rPr>
          <w:rFonts w:ascii="Century Gothic" w:hAnsi="Century Gothic"/>
        </w:rPr>
      </w:pPr>
      <w:r w:rsidRPr="00A06E4C">
        <w:rPr>
          <w:rFonts w:ascii="Century Gothic" w:hAnsi="Century Gothic"/>
        </w:rPr>
        <w:t>a) Interest at 5% p.a on the total damages from the date of filing the statement of claim up to full payment.</w:t>
      </w:r>
    </w:p>
    <w:p w:rsidR="00674018" w:rsidRPr="00A06E4C" w:rsidRDefault="00674018" w:rsidP="00674018">
      <w:pPr>
        <w:ind w:left="720"/>
        <w:jc w:val="both"/>
        <w:rPr>
          <w:rFonts w:ascii="Century Gothic" w:hAnsi="Century Gothic"/>
        </w:rPr>
      </w:pPr>
    </w:p>
    <w:p w:rsidR="00674018" w:rsidRPr="00A06E4C" w:rsidRDefault="00674018" w:rsidP="00674018">
      <w:pPr>
        <w:ind w:left="720"/>
        <w:jc w:val="both"/>
        <w:rPr>
          <w:rFonts w:ascii="Century Gothic" w:hAnsi="Century Gothic"/>
        </w:rPr>
      </w:pPr>
      <w:r w:rsidRPr="00A06E4C">
        <w:rPr>
          <w:rFonts w:ascii="Century Gothic" w:hAnsi="Century Gothic"/>
        </w:rPr>
        <w:t xml:space="preserve">       </w:t>
      </w:r>
      <w:r>
        <w:rPr>
          <w:rFonts w:ascii="Century Gothic" w:hAnsi="Century Gothic"/>
        </w:rPr>
        <w:tab/>
      </w:r>
      <w:r>
        <w:rPr>
          <w:rFonts w:ascii="Century Gothic" w:hAnsi="Century Gothic"/>
        </w:rPr>
        <w:tab/>
      </w:r>
      <w:r>
        <w:rPr>
          <w:rFonts w:ascii="Century Gothic" w:hAnsi="Century Gothic"/>
        </w:rPr>
        <w:tab/>
      </w:r>
      <w:r w:rsidRPr="00A06E4C">
        <w:rPr>
          <w:rFonts w:ascii="Century Gothic" w:hAnsi="Century Gothic"/>
        </w:rPr>
        <w:t>b) Cost on an indemnity basis and all subsequent costs.</w:t>
      </w:r>
    </w:p>
    <w:p w:rsidR="00674018" w:rsidRPr="00A06E4C" w:rsidRDefault="00674018" w:rsidP="00674018">
      <w:pPr>
        <w:ind w:left="720"/>
        <w:jc w:val="both"/>
        <w:rPr>
          <w:rFonts w:ascii="Century Gothic" w:hAnsi="Century Gothic"/>
        </w:rPr>
      </w:pPr>
    </w:p>
    <w:p w:rsidR="00674018" w:rsidRPr="00A06E4C" w:rsidRDefault="00674018" w:rsidP="00674018">
      <w:pPr>
        <w:ind w:left="720"/>
        <w:jc w:val="both"/>
        <w:rPr>
          <w:rFonts w:ascii="Century Gothic" w:hAnsi="Century Gothic"/>
        </w:rPr>
      </w:pPr>
      <w:r w:rsidRPr="00A06E4C">
        <w:rPr>
          <w:rFonts w:ascii="Century Gothic" w:hAnsi="Century Gothic"/>
        </w:rPr>
        <w:t xml:space="preserve">      </w:t>
      </w:r>
      <w:r>
        <w:rPr>
          <w:rFonts w:ascii="Century Gothic" w:hAnsi="Century Gothic"/>
        </w:rPr>
        <w:tab/>
      </w:r>
      <w:r>
        <w:rPr>
          <w:rFonts w:ascii="Century Gothic" w:hAnsi="Century Gothic"/>
        </w:rPr>
        <w:tab/>
      </w:r>
      <w:r>
        <w:rPr>
          <w:rFonts w:ascii="Century Gothic" w:hAnsi="Century Gothic"/>
        </w:rPr>
        <w:tab/>
      </w:r>
      <w:r w:rsidRPr="00A06E4C">
        <w:rPr>
          <w:rFonts w:ascii="Century Gothic" w:hAnsi="Century Gothic"/>
        </w:rPr>
        <w:t>c) Any other relief deemed fit by the Court.</w:t>
      </w:r>
    </w:p>
    <w:p w:rsidR="00674018" w:rsidRDefault="00674018" w:rsidP="00674018">
      <w:pPr>
        <w:jc w:val="both"/>
        <w:rPr>
          <w:rFonts w:ascii="Century Gothic" w:hAnsi="Century Gothic"/>
        </w:rPr>
      </w:pPr>
    </w:p>
    <w:p w:rsidR="00674018" w:rsidRPr="00727673" w:rsidRDefault="00674018" w:rsidP="00674018">
      <w:pPr>
        <w:ind w:left="1440"/>
        <w:jc w:val="both"/>
        <w:rPr>
          <w:rFonts w:ascii="Century Gothic" w:hAnsi="Century Gothic"/>
        </w:rPr>
      </w:pPr>
      <w:r>
        <w:rPr>
          <w:rFonts w:ascii="Century Gothic" w:hAnsi="Century Gothic"/>
        </w:rPr>
        <w:t>The Case management is fixed on 13 January 2015.</w:t>
      </w:r>
    </w:p>
    <w:p w:rsidR="0076383A" w:rsidRDefault="0076383A" w:rsidP="00746E25">
      <w:pPr>
        <w:ind w:left="1440"/>
        <w:jc w:val="both"/>
        <w:rPr>
          <w:rFonts w:ascii="Century Gothic" w:hAnsi="Century Gothic"/>
        </w:rPr>
      </w:pPr>
    </w:p>
    <w:p w:rsidR="0076383A" w:rsidRDefault="0076383A"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027258" w:rsidRDefault="00027258" w:rsidP="00746E25">
      <w:pPr>
        <w:ind w:left="1440"/>
        <w:jc w:val="both"/>
        <w:rPr>
          <w:rFonts w:ascii="Century Gothic" w:hAnsi="Century Gothic"/>
        </w:rPr>
      </w:pPr>
    </w:p>
    <w:p w:rsidR="0076383A" w:rsidRDefault="0076383A" w:rsidP="00746E25">
      <w:pPr>
        <w:ind w:left="1440"/>
        <w:jc w:val="both"/>
        <w:rPr>
          <w:rFonts w:ascii="Century Gothic" w:hAnsi="Century Gothic"/>
        </w:rPr>
      </w:pPr>
    </w:p>
    <w:p w:rsidR="0076383A" w:rsidRPr="009620D0" w:rsidRDefault="0076383A" w:rsidP="0076383A">
      <w:pPr>
        <w:ind w:left="720" w:hanging="720"/>
        <w:jc w:val="both"/>
        <w:rPr>
          <w:rFonts w:ascii="Century Gothic" w:hAnsi="Century Gothic"/>
          <w:b/>
        </w:rPr>
      </w:pPr>
      <w:r w:rsidRPr="009620D0">
        <w:rPr>
          <w:rFonts w:ascii="Century Gothic" w:hAnsi="Century Gothic"/>
          <w:b/>
        </w:rPr>
        <w:lastRenderedPageBreak/>
        <w:t>B</w:t>
      </w:r>
      <w:r w:rsidRPr="009620D0">
        <w:rPr>
          <w:rFonts w:ascii="Century Gothic" w:hAnsi="Century Gothic"/>
          <w:b/>
        </w:rPr>
        <w:tab/>
        <w:t>EXPLANATORY NOTES PURSUANT TO APPENDIX 9B OF THE ACE MARKET LISTING REQUIREMENTS OF BURSA SECURITIES (CONT’D)</w:t>
      </w:r>
    </w:p>
    <w:p w:rsidR="0076383A" w:rsidRDefault="0076383A" w:rsidP="0076383A">
      <w:pPr>
        <w:pStyle w:val="BodyText"/>
        <w:ind w:left="720" w:firstLine="720"/>
        <w:rPr>
          <w:rFonts w:ascii="Century Gothic" w:hAnsi="Century Gothic" w:cs="Arial"/>
          <w:bCs/>
          <w:sz w:val="20"/>
        </w:rPr>
      </w:pPr>
    </w:p>
    <w:p w:rsidR="00D96AD3" w:rsidRDefault="00D96AD3" w:rsidP="00D96AD3">
      <w:pPr>
        <w:ind w:left="720"/>
        <w:jc w:val="both"/>
        <w:rPr>
          <w:rFonts w:ascii="Century Gothic" w:hAnsi="Century Gothic"/>
        </w:rPr>
      </w:pPr>
    </w:p>
    <w:p w:rsidR="00802925" w:rsidRPr="009620D0" w:rsidRDefault="009212A5" w:rsidP="00802925">
      <w:pPr>
        <w:pStyle w:val="BodyText"/>
        <w:rPr>
          <w:rFonts w:ascii="Century Gothic" w:hAnsi="Century Gothic"/>
          <w:b/>
          <w:sz w:val="20"/>
        </w:rPr>
      </w:pPr>
      <w:r w:rsidRPr="009620D0">
        <w:rPr>
          <w:rFonts w:ascii="Century Gothic" w:hAnsi="Century Gothic"/>
          <w:b/>
          <w:sz w:val="20"/>
        </w:rPr>
        <w:t>B</w:t>
      </w:r>
      <w:r w:rsidR="00E142D4">
        <w:rPr>
          <w:rFonts w:ascii="Century Gothic" w:hAnsi="Century Gothic"/>
          <w:b/>
          <w:sz w:val="20"/>
        </w:rPr>
        <w:t>9</w:t>
      </w:r>
      <w:r w:rsidRPr="009620D0">
        <w:rPr>
          <w:rFonts w:ascii="Century Gothic" w:hAnsi="Century Gothic"/>
          <w:b/>
          <w:sz w:val="20"/>
        </w:rPr>
        <w:tab/>
        <w:t>Dividends</w:t>
      </w:r>
    </w:p>
    <w:p w:rsidR="00EA3FBB" w:rsidRPr="009620D0" w:rsidRDefault="00EA3FBB">
      <w:pPr>
        <w:pStyle w:val="BodyText"/>
        <w:rPr>
          <w:rFonts w:ascii="Century Gothic" w:hAnsi="Century Gothic"/>
          <w:b/>
          <w:sz w:val="20"/>
        </w:rPr>
      </w:pPr>
    </w:p>
    <w:p w:rsidR="00000F2B" w:rsidRPr="009620D0" w:rsidRDefault="009212A5" w:rsidP="00000F2B">
      <w:pPr>
        <w:pStyle w:val="BodyText"/>
        <w:ind w:left="720"/>
        <w:rPr>
          <w:rFonts w:ascii="Century Gothic" w:hAnsi="Century Gothic"/>
          <w:sz w:val="20"/>
        </w:rPr>
      </w:pPr>
      <w:r w:rsidRPr="009620D0">
        <w:rPr>
          <w:rFonts w:ascii="Century Gothic" w:hAnsi="Century Gothic"/>
          <w:sz w:val="20"/>
        </w:rPr>
        <w:t xml:space="preserve">There is no dividend declared and paid as at the date of this announcement. </w:t>
      </w:r>
    </w:p>
    <w:p w:rsidR="00DA518C" w:rsidRPr="009620D0" w:rsidRDefault="00DA518C">
      <w:pPr>
        <w:pStyle w:val="BodyText"/>
        <w:rPr>
          <w:rFonts w:ascii="Century Gothic" w:hAnsi="Century Gothic"/>
          <w:b/>
          <w:sz w:val="16"/>
          <w:szCs w:val="16"/>
        </w:rPr>
      </w:pPr>
    </w:p>
    <w:p w:rsidR="003E0D06" w:rsidRPr="009620D0" w:rsidRDefault="003E0D06">
      <w:pPr>
        <w:pStyle w:val="BodyText"/>
        <w:rPr>
          <w:rFonts w:ascii="Century Gothic" w:hAnsi="Century Gothic"/>
          <w:b/>
          <w:sz w:val="16"/>
          <w:szCs w:val="16"/>
        </w:rPr>
      </w:pPr>
    </w:p>
    <w:p w:rsidR="00D00EA3" w:rsidRPr="009620D0" w:rsidRDefault="009212A5" w:rsidP="00D00EA3">
      <w:pPr>
        <w:pStyle w:val="BodyText"/>
        <w:rPr>
          <w:rFonts w:ascii="Century Gothic" w:hAnsi="Century Gothic"/>
          <w:b/>
          <w:sz w:val="20"/>
        </w:rPr>
      </w:pPr>
      <w:r w:rsidRPr="009620D0">
        <w:rPr>
          <w:rFonts w:ascii="Century Gothic" w:hAnsi="Century Gothic"/>
          <w:b/>
          <w:sz w:val="20"/>
        </w:rPr>
        <w:t>B</w:t>
      </w:r>
      <w:r w:rsidR="00E142D4">
        <w:rPr>
          <w:rFonts w:ascii="Century Gothic" w:hAnsi="Century Gothic"/>
          <w:b/>
          <w:sz w:val="20"/>
        </w:rPr>
        <w:t>10</w:t>
      </w:r>
      <w:r w:rsidRPr="009620D0">
        <w:rPr>
          <w:rFonts w:ascii="Century Gothic" w:hAnsi="Century Gothic"/>
          <w:b/>
          <w:sz w:val="20"/>
        </w:rPr>
        <w:tab/>
        <w:t>Earnings per Share</w:t>
      </w:r>
    </w:p>
    <w:tbl>
      <w:tblPr>
        <w:tblW w:w="9270" w:type="dxa"/>
        <w:tblInd w:w="828" w:type="dxa"/>
        <w:tblLook w:val="01E0" w:firstRow="1" w:lastRow="1" w:firstColumn="1" w:lastColumn="1" w:noHBand="0" w:noVBand="0"/>
      </w:tblPr>
      <w:tblGrid>
        <w:gridCol w:w="5130"/>
        <w:gridCol w:w="1890"/>
        <w:gridCol w:w="270"/>
        <w:gridCol w:w="1980"/>
      </w:tblGrid>
      <w:tr w:rsidR="009620D0" w:rsidRPr="009620D0" w:rsidTr="00124E10">
        <w:tc>
          <w:tcPr>
            <w:tcW w:w="5130" w:type="dxa"/>
          </w:tcPr>
          <w:p w:rsidR="00D00EA3" w:rsidRPr="009620D0" w:rsidRDefault="00D00EA3" w:rsidP="00124E10">
            <w:pPr>
              <w:pStyle w:val="BodyText"/>
              <w:rPr>
                <w:rFonts w:ascii="Century Gothic" w:hAnsi="Century Gothic"/>
                <w:b/>
                <w:sz w:val="20"/>
              </w:rPr>
            </w:pPr>
          </w:p>
        </w:tc>
        <w:tc>
          <w:tcPr>
            <w:tcW w:w="1890" w:type="dxa"/>
          </w:tcPr>
          <w:p w:rsidR="00D00EA3" w:rsidRPr="009620D0" w:rsidRDefault="009212A5" w:rsidP="00124E10">
            <w:pPr>
              <w:pStyle w:val="BodyText"/>
              <w:jc w:val="center"/>
              <w:rPr>
                <w:rFonts w:ascii="Century Gothic" w:hAnsi="Century Gothic"/>
                <w:b/>
                <w:sz w:val="20"/>
              </w:rPr>
            </w:pPr>
            <w:r w:rsidRPr="009620D0">
              <w:rPr>
                <w:rFonts w:ascii="Century Gothic" w:hAnsi="Century Gothic"/>
                <w:b/>
                <w:sz w:val="20"/>
              </w:rPr>
              <w:t xml:space="preserve">Current financial </w:t>
            </w:r>
            <w:r w:rsidRPr="009620D0">
              <w:rPr>
                <w:rFonts w:ascii="Century Gothic" w:hAnsi="Century Gothic"/>
                <w:b/>
                <w:sz w:val="20"/>
                <w:u w:val="single"/>
              </w:rPr>
              <w:t>quarter</w:t>
            </w:r>
          </w:p>
        </w:tc>
        <w:tc>
          <w:tcPr>
            <w:tcW w:w="270" w:type="dxa"/>
          </w:tcPr>
          <w:p w:rsidR="00D00EA3" w:rsidRPr="009620D0" w:rsidRDefault="00D00EA3" w:rsidP="00124E10">
            <w:pPr>
              <w:pStyle w:val="BodyText"/>
              <w:rPr>
                <w:rFonts w:ascii="Century Gothic" w:hAnsi="Century Gothic"/>
                <w:b/>
                <w:sz w:val="20"/>
              </w:rPr>
            </w:pPr>
          </w:p>
        </w:tc>
        <w:tc>
          <w:tcPr>
            <w:tcW w:w="1980" w:type="dxa"/>
          </w:tcPr>
          <w:p w:rsidR="00D00EA3" w:rsidRPr="009620D0" w:rsidRDefault="009212A5" w:rsidP="00124E10">
            <w:pPr>
              <w:pStyle w:val="BodyText"/>
              <w:jc w:val="center"/>
              <w:rPr>
                <w:rFonts w:ascii="Century Gothic" w:hAnsi="Century Gothic"/>
                <w:b/>
                <w:sz w:val="20"/>
              </w:rPr>
            </w:pPr>
            <w:r w:rsidRPr="009620D0">
              <w:rPr>
                <w:rFonts w:ascii="Century Gothic" w:hAnsi="Century Gothic"/>
                <w:b/>
                <w:sz w:val="20"/>
              </w:rPr>
              <w:t>Financial period</w:t>
            </w:r>
          </w:p>
          <w:p w:rsidR="00D00EA3" w:rsidRPr="009620D0" w:rsidRDefault="009212A5" w:rsidP="00124E10">
            <w:pPr>
              <w:pStyle w:val="BodyText"/>
              <w:jc w:val="center"/>
              <w:rPr>
                <w:rFonts w:ascii="Century Gothic" w:hAnsi="Century Gothic"/>
                <w:b/>
                <w:sz w:val="20"/>
              </w:rPr>
            </w:pPr>
            <w:r w:rsidRPr="009620D0">
              <w:rPr>
                <w:rFonts w:ascii="Century Gothic" w:hAnsi="Century Gothic"/>
                <w:b/>
                <w:sz w:val="20"/>
                <w:u w:val="single"/>
              </w:rPr>
              <w:t>to date</w:t>
            </w:r>
          </w:p>
        </w:tc>
      </w:tr>
      <w:tr w:rsidR="009620D0" w:rsidRPr="009620D0" w:rsidTr="00124E10">
        <w:tc>
          <w:tcPr>
            <w:tcW w:w="5130" w:type="dxa"/>
          </w:tcPr>
          <w:p w:rsidR="00D00EA3" w:rsidRPr="009620D0" w:rsidRDefault="00D00EA3" w:rsidP="00124E10">
            <w:pPr>
              <w:pStyle w:val="BodyText"/>
              <w:rPr>
                <w:rFonts w:ascii="Century Gothic" w:hAnsi="Century Gothic"/>
                <w:b/>
                <w:sz w:val="20"/>
              </w:rPr>
            </w:pPr>
          </w:p>
        </w:tc>
        <w:tc>
          <w:tcPr>
            <w:tcW w:w="1890" w:type="dxa"/>
          </w:tcPr>
          <w:p w:rsidR="00D00EA3" w:rsidRPr="009620D0" w:rsidRDefault="00D00EA3" w:rsidP="00124E10">
            <w:pPr>
              <w:pStyle w:val="BodyText"/>
              <w:jc w:val="center"/>
              <w:rPr>
                <w:rFonts w:ascii="Century Gothic" w:hAnsi="Century Gothic"/>
                <w:b/>
                <w:sz w:val="20"/>
              </w:rPr>
            </w:pPr>
          </w:p>
        </w:tc>
        <w:tc>
          <w:tcPr>
            <w:tcW w:w="270" w:type="dxa"/>
          </w:tcPr>
          <w:p w:rsidR="00D00EA3" w:rsidRPr="009620D0" w:rsidRDefault="00D00EA3" w:rsidP="00124E10">
            <w:pPr>
              <w:pStyle w:val="BodyText"/>
              <w:rPr>
                <w:rFonts w:ascii="Century Gothic" w:hAnsi="Century Gothic"/>
                <w:b/>
                <w:sz w:val="20"/>
              </w:rPr>
            </w:pPr>
          </w:p>
        </w:tc>
        <w:tc>
          <w:tcPr>
            <w:tcW w:w="1980" w:type="dxa"/>
          </w:tcPr>
          <w:p w:rsidR="00D00EA3" w:rsidRPr="009620D0" w:rsidRDefault="00D00EA3" w:rsidP="00124E10">
            <w:pPr>
              <w:pStyle w:val="BodyText"/>
              <w:jc w:val="center"/>
              <w:rPr>
                <w:rFonts w:ascii="Century Gothic" w:hAnsi="Century Gothic"/>
                <w:b/>
                <w:sz w:val="20"/>
              </w:rPr>
            </w:pPr>
          </w:p>
        </w:tc>
      </w:tr>
      <w:tr w:rsidR="00BF3C65" w:rsidRPr="009620D0" w:rsidTr="00124E10">
        <w:tc>
          <w:tcPr>
            <w:tcW w:w="5130" w:type="dxa"/>
          </w:tcPr>
          <w:p w:rsidR="00BF3C65" w:rsidRDefault="00BF3C65" w:rsidP="00227506">
            <w:pPr>
              <w:pStyle w:val="BodyText"/>
              <w:rPr>
                <w:rFonts w:ascii="Century Gothic" w:hAnsi="Century Gothic"/>
                <w:sz w:val="20"/>
              </w:rPr>
            </w:pPr>
            <w:r w:rsidRPr="009620D0">
              <w:rPr>
                <w:rFonts w:ascii="Century Gothic" w:hAnsi="Century Gothic"/>
                <w:sz w:val="20"/>
              </w:rPr>
              <w:t xml:space="preserve">Loss attributable to ordinary shareholders (RM’000) </w:t>
            </w:r>
          </w:p>
        </w:tc>
        <w:tc>
          <w:tcPr>
            <w:tcW w:w="1890" w:type="dxa"/>
            <w:tcBorders>
              <w:bottom w:val="double" w:sz="4" w:space="0" w:color="auto"/>
            </w:tcBorders>
          </w:tcPr>
          <w:p w:rsidR="00BF3C65" w:rsidRPr="00BA298A" w:rsidRDefault="00A672C2" w:rsidP="00333DD6">
            <w:pPr>
              <w:pStyle w:val="BodyText"/>
              <w:ind w:right="270"/>
              <w:jc w:val="right"/>
              <w:rPr>
                <w:rFonts w:ascii="Century Gothic" w:hAnsi="Century Gothic"/>
                <w:sz w:val="20"/>
                <w:highlight w:val="yellow"/>
              </w:rPr>
            </w:pPr>
            <w:r>
              <w:rPr>
                <w:rFonts w:ascii="Century Gothic" w:hAnsi="Century Gothic"/>
                <w:sz w:val="20"/>
              </w:rPr>
              <w:t>(</w:t>
            </w:r>
            <w:r w:rsidR="00333DD6">
              <w:rPr>
                <w:rFonts w:ascii="Century Gothic" w:hAnsi="Century Gothic"/>
                <w:sz w:val="20"/>
              </w:rPr>
              <w:t>379</w:t>
            </w:r>
            <w:r>
              <w:rPr>
                <w:rFonts w:ascii="Century Gothic" w:hAnsi="Century Gothic"/>
                <w:sz w:val="20"/>
              </w:rPr>
              <w:t>)</w:t>
            </w:r>
          </w:p>
        </w:tc>
        <w:tc>
          <w:tcPr>
            <w:tcW w:w="270" w:type="dxa"/>
          </w:tcPr>
          <w:p w:rsidR="00BF3C65" w:rsidRPr="009620D0" w:rsidRDefault="00BF3C65" w:rsidP="00124E10">
            <w:pPr>
              <w:pStyle w:val="BodyText"/>
              <w:rPr>
                <w:rFonts w:ascii="Century Gothic" w:hAnsi="Century Gothic"/>
                <w:b/>
                <w:sz w:val="20"/>
              </w:rPr>
            </w:pPr>
          </w:p>
        </w:tc>
        <w:tc>
          <w:tcPr>
            <w:tcW w:w="1980" w:type="dxa"/>
            <w:tcBorders>
              <w:bottom w:val="double" w:sz="4" w:space="0" w:color="auto"/>
            </w:tcBorders>
          </w:tcPr>
          <w:p w:rsidR="00BF3C65" w:rsidRPr="00FE024E" w:rsidRDefault="00A672C2" w:rsidP="00333DD6">
            <w:pPr>
              <w:pStyle w:val="BodyText"/>
              <w:ind w:right="270"/>
              <w:jc w:val="right"/>
              <w:rPr>
                <w:rFonts w:ascii="Century Gothic" w:hAnsi="Century Gothic"/>
                <w:sz w:val="20"/>
              </w:rPr>
            </w:pPr>
            <w:r>
              <w:rPr>
                <w:rFonts w:ascii="Century Gothic" w:hAnsi="Century Gothic"/>
                <w:sz w:val="20"/>
              </w:rPr>
              <w:t>(</w:t>
            </w:r>
            <w:r w:rsidR="00333DD6">
              <w:rPr>
                <w:rFonts w:ascii="Century Gothic" w:hAnsi="Century Gothic"/>
                <w:sz w:val="20"/>
              </w:rPr>
              <w:t>379</w:t>
            </w:r>
            <w:r>
              <w:rPr>
                <w:rFonts w:ascii="Century Gothic" w:hAnsi="Century Gothic"/>
                <w:sz w:val="20"/>
              </w:rPr>
              <w:t>)</w:t>
            </w:r>
          </w:p>
        </w:tc>
      </w:tr>
      <w:tr w:rsidR="009620D0" w:rsidRPr="009620D0" w:rsidTr="00124E10">
        <w:tc>
          <w:tcPr>
            <w:tcW w:w="5130" w:type="dxa"/>
          </w:tcPr>
          <w:p w:rsidR="00D00EA3" w:rsidRPr="009620D0" w:rsidRDefault="00D00EA3" w:rsidP="00124E10">
            <w:pPr>
              <w:pStyle w:val="BodyText"/>
              <w:rPr>
                <w:rFonts w:ascii="Century Gothic" w:hAnsi="Century Gothic"/>
                <w:sz w:val="20"/>
              </w:rPr>
            </w:pPr>
          </w:p>
        </w:tc>
        <w:tc>
          <w:tcPr>
            <w:tcW w:w="1890" w:type="dxa"/>
            <w:tcBorders>
              <w:top w:val="double" w:sz="4" w:space="0" w:color="auto"/>
            </w:tcBorders>
          </w:tcPr>
          <w:p w:rsidR="00D00EA3" w:rsidRPr="009620D0" w:rsidRDefault="00D00EA3" w:rsidP="00124E10">
            <w:pPr>
              <w:pStyle w:val="BodyText"/>
              <w:jc w:val="center"/>
              <w:rPr>
                <w:rFonts w:ascii="Century Gothic" w:hAnsi="Century Gothic"/>
                <w:b/>
                <w:sz w:val="20"/>
              </w:rPr>
            </w:pPr>
          </w:p>
        </w:tc>
        <w:tc>
          <w:tcPr>
            <w:tcW w:w="270" w:type="dxa"/>
          </w:tcPr>
          <w:p w:rsidR="00D00EA3" w:rsidRPr="009620D0" w:rsidRDefault="00D00EA3" w:rsidP="00124E10">
            <w:pPr>
              <w:pStyle w:val="BodyText"/>
              <w:rPr>
                <w:rFonts w:ascii="Century Gothic" w:hAnsi="Century Gothic"/>
                <w:b/>
                <w:sz w:val="20"/>
              </w:rPr>
            </w:pPr>
          </w:p>
        </w:tc>
        <w:tc>
          <w:tcPr>
            <w:tcW w:w="1980" w:type="dxa"/>
            <w:tcBorders>
              <w:top w:val="double" w:sz="4" w:space="0" w:color="auto"/>
            </w:tcBorders>
          </w:tcPr>
          <w:p w:rsidR="00D00EA3" w:rsidRPr="009620D0" w:rsidRDefault="00D00EA3" w:rsidP="00124E10">
            <w:pPr>
              <w:pStyle w:val="BodyText"/>
              <w:ind w:right="270"/>
              <w:jc w:val="right"/>
              <w:rPr>
                <w:rFonts w:ascii="Century Gothic" w:hAnsi="Century Gothic"/>
                <w:b/>
                <w:sz w:val="20"/>
              </w:rPr>
            </w:pPr>
          </w:p>
        </w:tc>
      </w:tr>
      <w:tr w:rsidR="009620D0" w:rsidRPr="009620D0" w:rsidTr="00124E10">
        <w:tc>
          <w:tcPr>
            <w:tcW w:w="5130" w:type="dxa"/>
          </w:tcPr>
          <w:p w:rsidR="00D00EA3" w:rsidRPr="009620D0" w:rsidRDefault="009212A5" w:rsidP="00124E10">
            <w:pPr>
              <w:pStyle w:val="BodyText"/>
              <w:rPr>
                <w:rFonts w:ascii="Century Gothic" w:hAnsi="Century Gothic"/>
                <w:sz w:val="20"/>
              </w:rPr>
            </w:pPr>
            <w:r w:rsidRPr="009620D0">
              <w:rPr>
                <w:rFonts w:ascii="Century Gothic" w:hAnsi="Century Gothic"/>
                <w:sz w:val="20"/>
              </w:rPr>
              <w:t>Number of ordinary shares of RM0.10 issued (‘000)</w:t>
            </w:r>
          </w:p>
        </w:tc>
        <w:tc>
          <w:tcPr>
            <w:tcW w:w="1890" w:type="dxa"/>
          </w:tcPr>
          <w:p w:rsidR="00D00EA3" w:rsidRPr="009620D0" w:rsidRDefault="009212A5" w:rsidP="001B0A5D">
            <w:pPr>
              <w:pStyle w:val="BodyText"/>
              <w:ind w:right="252"/>
              <w:jc w:val="right"/>
              <w:rPr>
                <w:rFonts w:ascii="Century Gothic" w:hAnsi="Century Gothic"/>
                <w:sz w:val="20"/>
              </w:rPr>
            </w:pPr>
            <w:r w:rsidRPr="009620D0">
              <w:rPr>
                <w:rFonts w:ascii="Century Gothic" w:hAnsi="Century Gothic"/>
                <w:sz w:val="20"/>
              </w:rPr>
              <w:t>200,0</w:t>
            </w:r>
            <w:r w:rsidR="001B0A5D">
              <w:rPr>
                <w:rFonts w:ascii="Century Gothic" w:hAnsi="Century Gothic"/>
                <w:sz w:val="20"/>
              </w:rPr>
              <w:t>0</w:t>
            </w:r>
            <w:r w:rsidRPr="009620D0">
              <w:rPr>
                <w:rFonts w:ascii="Century Gothic" w:hAnsi="Century Gothic"/>
                <w:sz w:val="20"/>
              </w:rPr>
              <w:t>0</w:t>
            </w:r>
          </w:p>
        </w:tc>
        <w:tc>
          <w:tcPr>
            <w:tcW w:w="270" w:type="dxa"/>
          </w:tcPr>
          <w:p w:rsidR="00D00EA3" w:rsidRPr="009620D0" w:rsidRDefault="00D00EA3" w:rsidP="00124E10">
            <w:pPr>
              <w:pStyle w:val="BodyText"/>
              <w:rPr>
                <w:rFonts w:ascii="Century Gothic" w:hAnsi="Century Gothic"/>
                <w:b/>
                <w:sz w:val="20"/>
              </w:rPr>
            </w:pPr>
          </w:p>
        </w:tc>
        <w:tc>
          <w:tcPr>
            <w:tcW w:w="1980" w:type="dxa"/>
          </w:tcPr>
          <w:p w:rsidR="00D00EA3" w:rsidRPr="009620D0" w:rsidRDefault="008D294C" w:rsidP="001B0A5D">
            <w:pPr>
              <w:pStyle w:val="BodyText"/>
              <w:ind w:right="270"/>
              <w:jc w:val="right"/>
              <w:rPr>
                <w:rFonts w:ascii="Century Gothic" w:hAnsi="Century Gothic"/>
                <w:b/>
                <w:sz w:val="20"/>
              </w:rPr>
            </w:pPr>
            <w:r w:rsidRPr="009620D0">
              <w:rPr>
                <w:rFonts w:ascii="Century Gothic" w:hAnsi="Century Gothic"/>
                <w:sz w:val="20"/>
              </w:rPr>
              <w:t>200,0</w:t>
            </w:r>
            <w:r w:rsidR="001B0A5D">
              <w:rPr>
                <w:rFonts w:ascii="Century Gothic" w:hAnsi="Century Gothic"/>
                <w:sz w:val="20"/>
              </w:rPr>
              <w:t>0</w:t>
            </w:r>
            <w:r w:rsidR="009212A5" w:rsidRPr="009620D0">
              <w:rPr>
                <w:rFonts w:ascii="Century Gothic" w:hAnsi="Century Gothic"/>
                <w:sz w:val="20"/>
              </w:rPr>
              <w:t>0</w:t>
            </w:r>
          </w:p>
        </w:tc>
      </w:tr>
      <w:tr w:rsidR="009620D0" w:rsidRPr="009620D0" w:rsidTr="00124E10">
        <w:tc>
          <w:tcPr>
            <w:tcW w:w="5130" w:type="dxa"/>
          </w:tcPr>
          <w:p w:rsidR="00D00EA3" w:rsidRPr="009620D0" w:rsidRDefault="00D00EA3" w:rsidP="00124E10">
            <w:pPr>
              <w:pStyle w:val="BodyText"/>
              <w:rPr>
                <w:rFonts w:ascii="Century Gothic" w:hAnsi="Century Gothic"/>
                <w:sz w:val="20"/>
              </w:rPr>
            </w:pPr>
          </w:p>
        </w:tc>
        <w:tc>
          <w:tcPr>
            <w:tcW w:w="1890" w:type="dxa"/>
          </w:tcPr>
          <w:p w:rsidR="00D00EA3" w:rsidRPr="009620D0" w:rsidRDefault="00D00EA3" w:rsidP="00124E10">
            <w:pPr>
              <w:pStyle w:val="BodyText"/>
              <w:jc w:val="center"/>
              <w:rPr>
                <w:rFonts w:ascii="Century Gothic" w:hAnsi="Century Gothic"/>
                <w:b/>
                <w:sz w:val="20"/>
              </w:rPr>
            </w:pPr>
          </w:p>
        </w:tc>
        <w:tc>
          <w:tcPr>
            <w:tcW w:w="270" w:type="dxa"/>
          </w:tcPr>
          <w:p w:rsidR="00D00EA3" w:rsidRPr="009620D0" w:rsidRDefault="00D00EA3" w:rsidP="00124E10">
            <w:pPr>
              <w:pStyle w:val="BodyText"/>
              <w:rPr>
                <w:rFonts w:ascii="Century Gothic" w:hAnsi="Century Gothic"/>
                <w:b/>
                <w:sz w:val="20"/>
              </w:rPr>
            </w:pPr>
          </w:p>
        </w:tc>
        <w:tc>
          <w:tcPr>
            <w:tcW w:w="1980" w:type="dxa"/>
          </w:tcPr>
          <w:p w:rsidR="00D00EA3" w:rsidRPr="009620D0" w:rsidRDefault="00D00EA3" w:rsidP="00124E10">
            <w:pPr>
              <w:pStyle w:val="BodyText"/>
              <w:ind w:right="270"/>
              <w:jc w:val="right"/>
              <w:rPr>
                <w:rFonts w:ascii="Century Gothic" w:hAnsi="Century Gothic"/>
                <w:b/>
                <w:sz w:val="20"/>
              </w:rPr>
            </w:pPr>
          </w:p>
        </w:tc>
      </w:tr>
      <w:tr w:rsidR="009620D0" w:rsidRPr="009620D0" w:rsidTr="00124E10">
        <w:tc>
          <w:tcPr>
            <w:tcW w:w="5130" w:type="dxa"/>
          </w:tcPr>
          <w:p w:rsidR="00D00EA3" w:rsidRPr="009620D0" w:rsidRDefault="009212A5" w:rsidP="00124E10">
            <w:pPr>
              <w:pStyle w:val="BodyText"/>
              <w:rPr>
                <w:rFonts w:ascii="Century Gothic" w:hAnsi="Century Gothic"/>
                <w:sz w:val="20"/>
              </w:rPr>
            </w:pPr>
            <w:r w:rsidRPr="009620D0">
              <w:rPr>
                <w:rFonts w:ascii="Century Gothic" w:hAnsi="Century Gothic"/>
                <w:sz w:val="20"/>
              </w:rPr>
              <w:t xml:space="preserve">Weighted average numbers of ordinary shares </w:t>
            </w:r>
          </w:p>
          <w:p w:rsidR="00D00EA3" w:rsidRPr="009620D0" w:rsidRDefault="009212A5" w:rsidP="00124E10">
            <w:pPr>
              <w:pStyle w:val="BodyText"/>
              <w:rPr>
                <w:rFonts w:ascii="Century Gothic" w:hAnsi="Century Gothic"/>
                <w:sz w:val="20"/>
              </w:rPr>
            </w:pPr>
            <w:r w:rsidRPr="009620D0">
              <w:rPr>
                <w:rFonts w:ascii="Century Gothic" w:hAnsi="Century Gothic"/>
                <w:sz w:val="20"/>
              </w:rPr>
              <w:t xml:space="preserve"> of RM0.10 issued (‘000)</w:t>
            </w:r>
          </w:p>
        </w:tc>
        <w:tc>
          <w:tcPr>
            <w:tcW w:w="1890" w:type="dxa"/>
          </w:tcPr>
          <w:p w:rsidR="00D00EA3" w:rsidRPr="009620D0" w:rsidRDefault="00D00EA3" w:rsidP="00124E10">
            <w:pPr>
              <w:pStyle w:val="BodyText"/>
              <w:ind w:right="252"/>
              <w:jc w:val="right"/>
              <w:rPr>
                <w:rFonts w:ascii="Century Gothic" w:hAnsi="Century Gothic"/>
                <w:b/>
                <w:sz w:val="20"/>
              </w:rPr>
            </w:pPr>
          </w:p>
          <w:p w:rsidR="00D00EA3" w:rsidRPr="009620D0" w:rsidRDefault="009212A5" w:rsidP="001B0A5D">
            <w:pPr>
              <w:pStyle w:val="BodyText"/>
              <w:ind w:right="252"/>
              <w:jc w:val="right"/>
              <w:rPr>
                <w:rFonts w:ascii="Century Gothic" w:hAnsi="Century Gothic"/>
                <w:sz w:val="20"/>
              </w:rPr>
            </w:pPr>
            <w:r w:rsidRPr="009620D0">
              <w:rPr>
                <w:rFonts w:ascii="Century Gothic" w:hAnsi="Century Gothic"/>
                <w:sz w:val="20"/>
              </w:rPr>
              <w:t>200,0</w:t>
            </w:r>
            <w:r w:rsidR="001B0A5D">
              <w:rPr>
                <w:rFonts w:ascii="Century Gothic" w:hAnsi="Century Gothic"/>
                <w:sz w:val="20"/>
              </w:rPr>
              <w:t>0</w:t>
            </w:r>
            <w:r w:rsidRPr="009620D0">
              <w:rPr>
                <w:rFonts w:ascii="Century Gothic" w:hAnsi="Century Gothic"/>
                <w:sz w:val="20"/>
              </w:rPr>
              <w:t>0</w:t>
            </w:r>
          </w:p>
        </w:tc>
        <w:tc>
          <w:tcPr>
            <w:tcW w:w="270" w:type="dxa"/>
          </w:tcPr>
          <w:p w:rsidR="00D00EA3" w:rsidRPr="009620D0" w:rsidRDefault="00D00EA3" w:rsidP="00124E10">
            <w:pPr>
              <w:pStyle w:val="BodyText"/>
              <w:rPr>
                <w:rFonts w:ascii="Century Gothic" w:hAnsi="Century Gothic"/>
                <w:b/>
                <w:sz w:val="20"/>
              </w:rPr>
            </w:pPr>
          </w:p>
        </w:tc>
        <w:tc>
          <w:tcPr>
            <w:tcW w:w="1980" w:type="dxa"/>
          </w:tcPr>
          <w:p w:rsidR="00D00EA3" w:rsidRPr="009620D0" w:rsidRDefault="00D00EA3" w:rsidP="00124E10">
            <w:pPr>
              <w:pStyle w:val="BodyText"/>
              <w:ind w:right="270"/>
              <w:jc w:val="right"/>
              <w:rPr>
                <w:rFonts w:ascii="Century Gothic" w:hAnsi="Century Gothic"/>
                <w:b/>
                <w:sz w:val="20"/>
              </w:rPr>
            </w:pPr>
          </w:p>
          <w:p w:rsidR="00D00EA3" w:rsidRPr="009620D0" w:rsidRDefault="008D294C" w:rsidP="001B0A5D">
            <w:pPr>
              <w:pStyle w:val="BodyText"/>
              <w:ind w:right="270"/>
              <w:jc w:val="right"/>
              <w:rPr>
                <w:rFonts w:ascii="Century Gothic" w:hAnsi="Century Gothic"/>
                <w:b/>
                <w:sz w:val="20"/>
              </w:rPr>
            </w:pPr>
            <w:r w:rsidRPr="009620D0">
              <w:rPr>
                <w:rFonts w:ascii="Century Gothic" w:hAnsi="Century Gothic"/>
                <w:sz w:val="20"/>
              </w:rPr>
              <w:t>200,0</w:t>
            </w:r>
            <w:r w:rsidR="001B0A5D">
              <w:rPr>
                <w:rFonts w:ascii="Century Gothic" w:hAnsi="Century Gothic"/>
                <w:sz w:val="20"/>
              </w:rPr>
              <w:t>0</w:t>
            </w:r>
            <w:r w:rsidR="009212A5" w:rsidRPr="009620D0">
              <w:rPr>
                <w:rFonts w:ascii="Century Gothic" w:hAnsi="Century Gothic"/>
                <w:sz w:val="20"/>
              </w:rPr>
              <w:t>0</w:t>
            </w:r>
          </w:p>
        </w:tc>
      </w:tr>
      <w:tr w:rsidR="009620D0" w:rsidRPr="009620D0" w:rsidTr="00124E10">
        <w:tc>
          <w:tcPr>
            <w:tcW w:w="5130" w:type="dxa"/>
          </w:tcPr>
          <w:p w:rsidR="00D00EA3" w:rsidRPr="009620D0" w:rsidRDefault="00D00EA3" w:rsidP="00124E10">
            <w:pPr>
              <w:pStyle w:val="BodyText"/>
              <w:rPr>
                <w:rFonts w:ascii="Century Gothic" w:hAnsi="Century Gothic"/>
                <w:sz w:val="20"/>
              </w:rPr>
            </w:pPr>
          </w:p>
        </w:tc>
        <w:tc>
          <w:tcPr>
            <w:tcW w:w="1890" w:type="dxa"/>
          </w:tcPr>
          <w:p w:rsidR="00D00EA3" w:rsidRPr="009620D0" w:rsidRDefault="00D00EA3" w:rsidP="00124E10">
            <w:pPr>
              <w:pStyle w:val="BodyText"/>
              <w:jc w:val="center"/>
              <w:rPr>
                <w:rFonts w:ascii="Century Gothic" w:hAnsi="Century Gothic"/>
                <w:b/>
                <w:sz w:val="20"/>
              </w:rPr>
            </w:pPr>
          </w:p>
        </w:tc>
        <w:tc>
          <w:tcPr>
            <w:tcW w:w="270" w:type="dxa"/>
          </w:tcPr>
          <w:p w:rsidR="00D00EA3" w:rsidRPr="009620D0" w:rsidRDefault="00D00EA3" w:rsidP="00124E10">
            <w:pPr>
              <w:pStyle w:val="BodyText"/>
              <w:rPr>
                <w:rFonts w:ascii="Century Gothic" w:hAnsi="Century Gothic"/>
                <w:b/>
                <w:sz w:val="20"/>
              </w:rPr>
            </w:pPr>
          </w:p>
        </w:tc>
        <w:tc>
          <w:tcPr>
            <w:tcW w:w="1980" w:type="dxa"/>
          </w:tcPr>
          <w:p w:rsidR="00D00EA3" w:rsidRPr="009620D0" w:rsidRDefault="00D00EA3" w:rsidP="00124E10">
            <w:pPr>
              <w:pStyle w:val="BodyText"/>
              <w:jc w:val="center"/>
              <w:rPr>
                <w:rFonts w:ascii="Century Gothic" w:hAnsi="Century Gothic"/>
                <w:b/>
                <w:sz w:val="20"/>
              </w:rPr>
            </w:pPr>
          </w:p>
        </w:tc>
      </w:tr>
      <w:tr w:rsidR="00BF3C65" w:rsidRPr="009620D0" w:rsidTr="00124E10">
        <w:tc>
          <w:tcPr>
            <w:tcW w:w="5130" w:type="dxa"/>
          </w:tcPr>
          <w:p w:rsidR="00BF3C65" w:rsidRPr="009620D0" w:rsidRDefault="00BF3C65" w:rsidP="00A672C2">
            <w:pPr>
              <w:pStyle w:val="BodyText"/>
              <w:rPr>
                <w:rFonts w:ascii="Century Gothic" w:hAnsi="Century Gothic"/>
                <w:sz w:val="20"/>
              </w:rPr>
            </w:pPr>
            <w:r w:rsidRPr="009620D0">
              <w:rPr>
                <w:rFonts w:ascii="Century Gothic" w:hAnsi="Century Gothic"/>
                <w:sz w:val="20"/>
              </w:rPr>
              <w:t xml:space="preserve">Basic </w:t>
            </w:r>
            <w:r w:rsidR="00A672C2">
              <w:rPr>
                <w:rFonts w:ascii="Century Gothic" w:hAnsi="Century Gothic"/>
                <w:sz w:val="20"/>
              </w:rPr>
              <w:t>loss</w:t>
            </w:r>
            <w:r w:rsidRPr="009620D0">
              <w:rPr>
                <w:rFonts w:ascii="Century Gothic" w:hAnsi="Century Gothic"/>
                <w:sz w:val="20"/>
              </w:rPr>
              <w:t xml:space="preserve"> per share (Sen)</w:t>
            </w:r>
          </w:p>
        </w:tc>
        <w:tc>
          <w:tcPr>
            <w:tcW w:w="1890" w:type="dxa"/>
          </w:tcPr>
          <w:p w:rsidR="00BF3C65" w:rsidRPr="009620D0" w:rsidRDefault="00A672C2" w:rsidP="00333DD6">
            <w:pPr>
              <w:pStyle w:val="BodyText"/>
              <w:ind w:right="252"/>
              <w:jc w:val="right"/>
              <w:rPr>
                <w:rFonts w:ascii="Century Gothic" w:hAnsi="Century Gothic"/>
                <w:sz w:val="20"/>
              </w:rPr>
            </w:pPr>
            <w:r>
              <w:rPr>
                <w:rFonts w:ascii="Century Gothic" w:hAnsi="Century Gothic"/>
                <w:sz w:val="20"/>
              </w:rPr>
              <w:t>(</w:t>
            </w:r>
            <w:r w:rsidR="00BF3C65">
              <w:rPr>
                <w:rFonts w:ascii="Century Gothic" w:hAnsi="Century Gothic"/>
                <w:sz w:val="20"/>
              </w:rPr>
              <w:t>0.</w:t>
            </w:r>
            <w:r w:rsidR="00700EC7">
              <w:rPr>
                <w:rFonts w:ascii="Century Gothic" w:hAnsi="Century Gothic"/>
                <w:sz w:val="20"/>
              </w:rPr>
              <w:t>1</w:t>
            </w:r>
            <w:r w:rsidR="00333DD6">
              <w:rPr>
                <w:rFonts w:ascii="Century Gothic" w:hAnsi="Century Gothic"/>
                <w:sz w:val="20"/>
              </w:rPr>
              <w:t>9</w:t>
            </w:r>
            <w:r>
              <w:rPr>
                <w:rFonts w:ascii="Century Gothic" w:hAnsi="Century Gothic"/>
                <w:sz w:val="20"/>
              </w:rPr>
              <w:t>)</w:t>
            </w:r>
          </w:p>
        </w:tc>
        <w:tc>
          <w:tcPr>
            <w:tcW w:w="270" w:type="dxa"/>
          </w:tcPr>
          <w:p w:rsidR="00BF3C65" w:rsidRPr="009620D0" w:rsidRDefault="00BF3C65" w:rsidP="00124E10">
            <w:pPr>
              <w:pStyle w:val="BodyText"/>
              <w:rPr>
                <w:rFonts w:ascii="Century Gothic" w:hAnsi="Century Gothic"/>
                <w:sz w:val="20"/>
              </w:rPr>
            </w:pPr>
          </w:p>
        </w:tc>
        <w:tc>
          <w:tcPr>
            <w:tcW w:w="1980" w:type="dxa"/>
          </w:tcPr>
          <w:p w:rsidR="00BF3C65" w:rsidRPr="009620D0" w:rsidRDefault="00A672C2" w:rsidP="00333DD6">
            <w:pPr>
              <w:pStyle w:val="BodyText"/>
              <w:ind w:right="252"/>
              <w:jc w:val="right"/>
              <w:rPr>
                <w:rFonts w:ascii="Century Gothic" w:hAnsi="Century Gothic"/>
                <w:sz w:val="20"/>
              </w:rPr>
            </w:pPr>
            <w:r>
              <w:rPr>
                <w:rFonts w:ascii="Century Gothic" w:hAnsi="Century Gothic"/>
                <w:sz w:val="20"/>
              </w:rPr>
              <w:t>(</w:t>
            </w:r>
            <w:r w:rsidR="00FE024E">
              <w:rPr>
                <w:rFonts w:ascii="Century Gothic" w:hAnsi="Century Gothic"/>
                <w:sz w:val="20"/>
              </w:rPr>
              <w:t>0.</w:t>
            </w:r>
            <w:r w:rsidR="00700EC7">
              <w:rPr>
                <w:rFonts w:ascii="Century Gothic" w:hAnsi="Century Gothic"/>
                <w:sz w:val="20"/>
              </w:rPr>
              <w:t>1</w:t>
            </w:r>
            <w:r w:rsidR="00333DD6">
              <w:rPr>
                <w:rFonts w:ascii="Century Gothic" w:hAnsi="Century Gothic"/>
                <w:sz w:val="20"/>
              </w:rPr>
              <w:t>9</w:t>
            </w:r>
            <w:r>
              <w:rPr>
                <w:rFonts w:ascii="Century Gothic" w:hAnsi="Century Gothic"/>
                <w:sz w:val="20"/>
              </w:rPr>
              <w:t>)</w:t>
            </w:r>
          </w:p>
        </w:tc>
      </w:tr>
      <w:tr w:rsidR="009620D0" w:rsidRPr="009620D0" w:rsidTr="00124E10">
        <w:tc>
          <w:tcPr>
            <w:tcW w:w="5130" w:type="dxa"/>
          </w:tcPr>
          <w:p w:rsidR="00D00EA3" w:rsidRPr="009620D0" w:rsidRDefault="009212A5" w:rsidP="00124E10">
            <w:pPr>
              <w:pStyle w:val="BodyText"/>
              <w:rPr>
                <w:rFonts w:ascii="Century Gothic" w:hAnsi="Century Gothic"/>
                <w:sz w:val="20"/>
              </w:rPr>
            </w:pPr>
            <w:r w:rsidRPr="009620D0">
              <w:rPr>
                <w:rFonts w:ascii="Century Gothic" w:hAnsi="Century Gothic"/>
                <w:sz w:val="20"/>
              </w:rPr>
              <w:t>Diluted earnings per share (Sen)</w:t>
            </w:r>
          </w:p>
        </w:tc>
        <w:tc>
          <w:tcPr>
            <w:tcW w:w="1890" w:type="dxa"/>
            <w:tcBorders>
              <w:bottom w:val="double" w:sz="4" w:space="0" w:color="auto"/>
            </w:tcBorders>
          </w:tcPr>
          <w:p w:rsidR="00D00EA3" w:rsidRPr="009620D0" w:rsidRDefault="009212A5" w:rsidP="00124E10">
            <w:pPr>
              <w:pStyle w:val="BodyText"/>
              <w:ind w:right="252"/>
              <w:jc w:val="right"/>
              <w:rPr>
                <w:rFonts w:ascii="Century Gothic" w:hAnsi="Century Gothic"/>
                <w:sz w:val="20"/>
              </w:rPr>
            </w:pPr>
            <w:r w:rsidRPr="009620D0">
              <w:rPr>
                <w:rFonts w:ascii="Century Gothic" w:hAnsi="Century Gothic"/>
                <w:sz w:val="20"/>
              </w:rPr>
              <w:t>N/A</w:t>
            </w:r>
          </w:p>
        </w:tc>
        <w:tc>
          <w:tcPr>
            <w:tcW w:w="270" w:type="dxa"/>
          </w:tcPr>
          <w:p w:rsidR="00D00EA3" w:rsidRPr="009620D0" w:rsidRDefault="00D00EA3" w:rsidP="00124E10">
            <w:pPr>
              <w:pStyle w:val="BodyText"/>
              <w:rPr>
                <w:rFonts w:ascii="Century Gothic" w:hAnsi="Century Gothic"/>
                <w:sz w:val="20"/>
              </w:rPr>
            </w:pPr>
          </w:p>
        </w:tc>
        <w:tc>
          <w:tcPr>
            <w:tcW w:w="1980" w:type="dxa"/>
            <w:tcBorders>
              <w:bottom w:val="double" w:sz="4" w:space="0" w:color="auto"/>
            </w:tcBorders>
          </w:tcPr>
          <w:p w:rsidR="00D00EA3" w:rsidRPr="009620D0" w:rsidRDefault="009212A5" w:rsidP="00124E10">
            <w:pPr>
              <w:pStyle w:val="BodyText"/>
              <w:ind w:right="252"/>
              <w:jc w:val="right"/>
              <w:rPr>
                <w:rFonts w:ascii="Century Gothic" w:hAnsi="Century Gothic"/>
                <w:sz w:val="20"/>
              </w:rPr>
            </w:pPr>
            <w:r w:rsidRPr="009620D0">
              <w:rPr>
                <w:rFonts w:ascii="Century Gothic" w:hAnsi="Century Gothic"/>
                <w:sz w:val="20"/>
              </w:rPr>
              <w:t>N/A</w:t>
            </w:r>
          </w:p>
        </w:tc>
      </w:tr>
      <w:tr w:rsidR="009620D0" w:rsidRPr="009620D0" w:rsidTr="00124E10">
        <w:tc>
          <w:tcPr>
            <w:tcW w:w="5130" w:type="dxa"/>
          </w:tcPr>
          <w:p w:rsidR="00D00EA3" w:rsidRPr="009620D0" w:rsidRDefault="00D00EA3" w:rsidP="00124E10">
            <w:pPr>
              <w:pStyle w:val="BodyText"/>
              <w:rPr>
                <w:rFonts w:ascii="Century Gothic" w:hAnsi="Century Gothic"/>
                <w:sz w:val="20"/>
              </w:rPr>
            </w:pPr>
          </w:p>
        </w:tc>
        <w:tc>
          <w:tcPr>
            <w:tcW w:w="1890" w:type="dxa"/>
            <w:tcBorders>
              <w:top w:val="double" w:sz="4" w:space="0" w:color="auto"/>
            </w:tcBorders>
          </w:tcPr>
          <w:p w:rsidR="00D00EA3" w:rsidRPr="009620D0" w:rsidRDefault="00D00EA3" w:rsidP="00124E10">
            <w:pPr>
              <w:pStyle w:val="BodyText"/>
              <w:ind w:right="252"/>
              <w:jc w:val="right"/>
              <w:rPr>
                <w:rFonts w:ascii="Century Gothic" w:hAnsi="Century Gothic"/>
                <w:sz w:val="20"/>
              </w:rPr>
            </w:pPr>
          </w:p>
        </w:tc>
        <w:tc>
          <w:tcPr>
            <w:tcW w:w="270" w:type="dxa"/>
          </w:tcPr>
          <w:p w:rsidR="00D00EA3" w:rsidRPr="009620D0" w:rsidRDefault="00D00EA3" w:rsidP="00124E10">
            <w:pPr>
              <w:pStyle w:val="BodyText"/>
              <w:rPr>
                <w:rFonts w:ascii="Century Gothic" w:hAnsi="Century Gothic"/>
                <w:sz w:val="20"/>
              </w:rPr>
            </w:pPr>
          </w:p>
        </w:tc>
        <w:tc>
          <w:tcPr>
            <w:tcW w:w="1980" w:type="dxa"/>
            <w:tcBorders>
              <w:top w:val="double" w:sz="4" w:space="0" w:color="auto"/>
            </w:tcBorders>
          </w:tcPr>
          <w:p w:rsidR="00D00EA3" w:rsidRPr="009620D0" w:rsidRDefault="00D00EA3" w:rsidP="00124E10">
            <w:pPr>
              <w:pStyle w:val="BodyText"/>
              <w:ind w:right="252"/>
              <w:jc w:val="right"/>
              <w:rPr>
                <w:rFonts w:ascii="Century Gothic" w:hAnsi="Century Gothic"/>
                <w:sz w:val="20"/>
              </w:rPr>
            </w:pPr>
          </w:p>
        </w:tc>
      </w:tr>
    </w:tbl>
    <w:p w:rsidR="00080335" w:rsidRPr="009620D0" w:rsidDel="003E0D06" w:rsidRDefault="00080335" w:rsidP="00080335">
      <w:pPr>
        <w:ind w:left="720" w:hanging="720"/>
        <w:jc w:val="both"/>
        <w:rPr>
          <w:rFonts w:ascii="Century Gothic" w:hAnsi="Century Gothic"/>
          <w:b/>
        </w:rPr>
      </w:pPr>
    </w:p>
    <w:p w:rsidR="00162459" w:rsidRPr="009620D0" w:rsidRDefault="009212A5" w:rsidP="002A6B33">
      <w:pPr>
        <w:ind w:left="720"/>
        <w:jc w:val="both"/>
        <w:rPr>
          <w:rFonts w:ascii="Century Gothic" w:hAnsi="Century Gothic"/>
        </w:rPr>
      </w:pPr>
      <w:r w:rsidRPr="009620D0">
        <w:rPr>
          <w:rFonts w:ascii="Century Gothic" w:hAnsi="Century Gothic"/>
        </w:rPr>
        <w:t>The calculation of the basic earnings per share is based on the loss attributable to ordinary shareholders for the financial quarter under review divided by the weighted average number of ordinary shares of RM0.10 issued.</w:t>
      </w:r>
    </w:p>
    <w:p w:rsidR="002A6B33" w:rsidRPr="009620D0" w:rsidRDefault="002A6B33">
      <w:pPr>
        <w:rPr>
          <w:rFonts w:ascii="Century Gothic" w:hAnsi="Century Gothic"/>
        </w:rPr>
      </w:pPr>
    </w:p>
    <w:p w:rsidR="002A6B33" w:rsidRDefault="009212A5" w:rsidP="002A6B33">
      <w:pPr>
        <w:ind w:firstLine="720"/>
        <w:rPr>
          <w:rFonts w:ascii="Century Gothic" w:hAnsi="Century Gothic"/>
        </w:rPr>
      </w:pPr>
      <w:r w:rsidRPr="009620D0">
        <w:rPr>
          <w:rFonts w:ascii="Century Gothic" w:hAnsi="Century Gothic"/>
        </w:rPr>
        <w:t>The Company has no ordinary shares issued which have dilutive factors.</w:t>
      </w:r>
    </w:p>
    <w:p w:rsidR="00A672C2" w:rsidRDefault="00A672C2" w:rsidP="002A6B33">
      <w:pPr>
        <w:ind w:firstLine="720"/>
        <w:rPr>
          <w:rFonts w:ascii="Century Gothic" w:hAnsi="Century Gothic"/>
        </w:rPr>
      </w:pPr>
    </w:p>
    <w:p w:rsidR="00D63302" w:rsidRDefault="00D63302" w:rsidP="00D73DFD">
      <w:pPr>
        <w:rPr>
          <w:rFonts w:ascii="Century Gothic" w:hAnsi="Century Gothic"/>
          <w:b/>
        </w:rPr>
      </w:pPr>
    </w:p>
    <w:p w:rsidR="00D73DFD" w:rsidRPr="009620D0" w:rsidRDefault="009212A5" w:rsidP="00D73DFD">
      <w:pPr>
        <w:rPr>
          <w:rFonts w:ascii="Century Gothic" w:hAnsi="Century Gothic"/>
          <w:b/>
        </w:rPr>
      </w:pPr>
      <w:r w:rsidRPr="009620D0">
        <w:rPr>
          <w:rFonts w:ascii="Century Gothic" w:hAnsi="Century Gothic"/>
          <w:b/>
        </w:rPr>
        <w:t>B1</w:t>
      </w:r>
      <w:r w:rsidR="00E142D4">
        <w:rPr>
          <w:rFonts w:ascii="Century Gothic" w:hAnsi="Century Gothic"/>
          <w:b/>
        </w:rPr>
        <w:t>1</w:t>
      </w:r>
      <w:r w:rsidRPr="009620D0">
        <w:rPr>
          <w:rFonts w:ascii="Century Gothic" w:hAnsi="Century Gothic"/>
          <w:b/>
        </w:rPr>
        <w:tab/>
        <w:t>Disclosure of</w:t>
      </w:r>
      <w:r w:rsidR="00157382">
        <w:rPr>
          <w:rFonts w:ascii="Century Gothic" w:hAnsi="Century Gothic"/>
          <w:b/>
        </w:rPr>
        <w:t xml:space="preserve"> realised and unrealised losses</w:t>
      </w:r>
    </w:p>
    <w:p w:rsidR="00D73DFD" w:rsidRPr="009620D0" w:rsidRDefault="00D73DFD" w:rsidP="00D73DFD">
      <w:pPr>
        <w:rPr>
          <w:rFonts w:ascii="Century Gothic" w:hAnsi="Century Gothic"/>
        </w:rPr>
      </w:pPr>
    </w:p>
    <w:p w:rsidR="00D73DFD" w:rsidRPr="009620D0" w:rsidRDefault="009212A5" w:rsidP="00D73DFD">
      <w:pPr>
        <w:ind w:left="720"/>
        <w:rPr>
          <w:rFonts w:ascii="Century Gothic" w:hAnsi="Century Gothic"/>
        </w:rPr>
      </w:pPr>
      <w:r w:rsidRPr="009620D0">
        <w:rPr>
          <w:rFonts w:ascii="Century Gothic" w:hAnsi="Century Gothic"/>
        </w:rPr>
        <w:t xml:space="preserve">The breakdown of the accumulated losses of the Group as at </w:t>
      </w:r>
      <w:r w:rsidR="004F50DE">
        <w:rPr>
          <w:rFonts w:ascii="Century Gothic" w:hAnsi="Century Gothic"/>
        </w:rPr>
        <w:t>30</w:t>
      </w:r>
      <w:r w:rsidRPr="009620D0">
        <w:rPr>
          <w:rFonts w:ascii="Century Gothic" w:hAnsi="Century Gothic"/>
        </w:rPr>
        <w:t xml:space="preserve"> </w:t>
      </w:r>
      <w:r w:rsidR="004F50DE">
        <w:rPr>
          <w:rFonts w:ascii="Century Gothic" w:hAnsi="Century Gothic"/>
        </w:rPr>
        <w:t xml:space="preserve">September </w:t>
      </w:r>
      <w:r w:rsidRPr="009620D0">
        <w:rPr>
          <w:rFonts w:ascii="Century Gothic" w:hAnsi="Century Gothic"/>
        </w:rPr>
        <w:t>201</w:t>
      </w:r>
      <w:r w:rsidR="00172581">
        <w:rPr>
          <w:rFonts w:ascii="Century Gothic" w:hAnsi="Century Gothic"/>
        </w:rPr>
        <w:t>5</w:t>
      </w:r>
      <w:r w:rsidRPr="009620D0">
        <w:rPr>
          <w:rFonts w:ascii="Century Gothic" w:hAnsi="Century Gothic"/>
        </w:rPr>
        <w:t xml:space="preserve">, into realised and </w:t>
      </w:r>
      <w:r w:rsidR="00362300">
        <w:rPr>
          <w:rFonts w:ascii="Century Gothic" w:hAnsi="Century Gothic"/>
        </w:rPr>
        <w:t xml:space="preserve">unrealized </w:t>
      </w:r>
      <w:r w:rsidR="002B3712">
        <w:rPr>
          <w:rFonts w:ascii="Century Gothic" w:hAnsi="Century Gothic"/>
        </w:rPr>
        <w:t>gain/</w:t>
      </w:r>
      <w:r w:rsidRPr="009620D0">
        <w:rPr>
          <w:rFonts w:ascii="Century Gothic" w:hAnsi="Century Gothic"/>
        </w:rPr>
        <w:t>losses and losses is as follows:</w:t>
      </w:r>
    </w:p>
    <w:tbl>
      <w:tblPr>
        <w:tblStyle w:val="TableGrid"/>
        <w:tblW w:w="0" w:type="auto"/>
        <w:tblInd w:w="1008" w:type="dxa"/>
        <w:tblLook w:val="04A0" w:firstRow="1" w:lastRow="0" w:firstColumn="1" w:lastColumn="0" w:noHBand="0" w:noVBand="1"/>
      </w:tblPr>
      <w:tblGrid>
        <w:gridCol w:w="5400"/>
        <w:gridCol w:w="1530"/>
        <w:gridCol w:w="90"/>
        <w:gridCol w:w="270"/>
        <w:gridCol w:w="270"/>
        <w:gridCol w:w="1391"/>
        <w:gridCol w:w="90"/>
        <w:gridCol w:w="319"/>
      </w:tblGrid>
      <w:tr w:rsidR="001E46DE" w:rsidRPr="009620D0" w:rsidTr="00D355AB">
        <w:tc>
          <w:tcPr>
            <w:tcW w:w="5400" w:type="dxa"/>
            <w:tcBorders>
              <w:top w:val="nil"/>
              <w:left w:val="nil"/>
              <w:bottom w:val="nil"/>
              <w:right w:val="nil"/>
            </w:tcBorders>
          </w:tcPr>
          <w:p w:rsidR="001E46DE" w:rsidRPr="009620D0" w:rsidRDefault="001E46DE" w:rsidP="00170927">
            <w:pPr>
              <w:rPr>
                <w:rFonts w:ascii="Century Gothic" w:hAnsi="Century Gothic"/>
              </w:rPr>
            </w:pPr>
          </w:p>
        </w:tc>
        <w:tc>
          <w:tcPr>
            <w:tcW w:w="1620" w:type="dxa"/>
            <w:gridSpan w:val="2"/>
            <w:tcBorders>
              <w:top w:val="nil"/>
              <w:left w:val="nil"/>
              <w:bottom w:val="nil"/>
              <w:right w:val="nil"/>
            </w:tcBorders>
          </w:tcPr>
          <w:p w:rsidR="001E46DE" w:rsidRPr="009620D0" w:rsidRDefault="004F50DE" w:rsidP="00172581">
            <w:pPr>
              <w:jc w:val="center"/>
              <w:rPr>
                <w:rFonts w:ascii="Century Gothic" w:hAnsi="Century Gothic"/>
                <w:b/>
              </w:rPr>
            </w:pPr>
            <w:r w:rsidRPr="004F50DE">
              <w:rPr>
                <w:rFonts w:ascii="Century Gothic" w:hAnsi="Century Gothic"/>
                <w:b/>
              </w:rPr>
              <w:t>30 September 2015</w:t>
            </w:r>
          </w:p>
        </w:tc>
        <w:tc>
          <w:tcPr>
            <w:tcW w:w="270" w:type="dxa"/>
            <w:tcBorders>
              <w:top w:val="nil"/>
              <w:left w:val="nil"/>
              <w:bottom w:val="nil"/>
              <w:right w:val="nil"/>
            </w:tcBorders>
          </w:tcPr>
          <w:p w:rsidR="001E46DE" w:rsidRPr="009620D0" w:rsidRDefault="001E46DE" w:rsidP="00170927">
            <w:pPr>
              <w:jc w:val="center"/>
              <w:rPr>
                <w:rFonts w:ascii="Century Gothic" w:hAnsi="Century Gothic"/>
                <w:b/>
              </w:rPr>
            </w:pPr>
          </w:p>
        </w:tc>
        <w:tc>
          <w:tcPr>
            <w:tcW w:w="2070" w:type="dxa"/>
            <w:gridSpan w:val="4"/>
            <w:tcBorders>
              <w:top w:val="nil"/>
              <w:left w:val="nil"/>
              <w:bottom w:val="nil"/>
              <w:right w:val="nil"/>
            </w:tcBorders>
          </w:tcPr>
          <w:p w:rsidR="001E46DE" w:rsidRPr="009620D0" w:rsidRDefault="001E46DE" w:rsidP="00227506">
            <w:pPr>
              <w:jc w:val="center"/>
              <w:rPr>
                <w:rFonts w:ascii="Century Gothic" w:hAnsi="Century Gothic"/>
                <w:b/>
              </w:rPr>
            </w:pPr>
            <w:r w:rsidRPr="009620D0">
              <w:rPr>
                <w:rFonts w:ascii="Century Gothic" w:hAnsi="Century Gothic"/>
                <w:b/>
              </w:rPr>
              <w:t>3</w:t>
            </w:r>
            <w:r w:rsidR="004F50DE">
              <w:rPr>
                <w:rFonts w:ascii="Century Gothic" w:hAnsi="Century Gothic"/>
                <w:b/>
              </w:rPr>
              <w:t>0</w:t>
            </w:r>
            <w:r w:rsidRPr="009620D0">
              <w:rPr>
                <w:rFonts w:ascii="Century Gothic" w:hAnsi="Century Gothic"/>
                <w:b/>
              </w:rPr>
              <w:t xml:space="preserve"> </w:t>
            </w:r>
            <w:r w:rsidR="004F50DE">
              <w:rPr>
                <w:rFonts w:ascii="Century Gothic" w:hAnsi="Century Gothic"/>
                <w:b/>
              </w:rPr>
              <w:t>June</w:t>
            </w:r>
          </w:p>
          <w:p w:rsidR="001E46DE" w:rsidRPr="009620D0" w:rsidRDefault="001E46DE" w:rsidP="004F50DE">
            <w:pPr>
              <w:jc w:val="center"/>
              <w:rPr>
                <w:rFonts w:ascii="Century Gothic" w:hAnsi="Century Gothic"/>
                <w:b/>
              </w:rPr>
            </w:pPr>
            <w:r w:rsidRPr="009620D0">
              <w:rPr>
                <w:rFonts w:ascii="Century Gothic" w:hAnsi="Century Gothic"/>
                <w:b/>
              </w:rPr>
              <w:t>201</w:t>
            </w:r>
            <w:r w:rsidR="004F50DE">
              <w:rPr>
                <w:rFonts w:ascii="Century Gothic" w:hAnsi="Century Gothic"/>
                <w:b/>
              </w:rPr>
              <w:t>5</w:t>
            </w:r>
          </w:p>
        </w:tc>
      </w:tr>
      <w:tr w:rsidR="001E46DE" w:rsidRPr="009620D0" w:rsidTr="00D355AB">
        <w:tc>
          <w:tcPr>
            <w:tcW w:w="5400" w:type="dxa"/>
            <w:tcBorders>
              <w:top w:val="nil"/>
              <w:left w:val="nil"/>
              <w:bottom w:val="nil"/>
              <w:right w:val="nil"/>
            </w:tcBorders>
          </w:tcPr>
          <w:p w:rsidR="001E46DE" w:rsidRPr="009620D0" w:rsidRDefault="001E46DE" w:rsidP="00170927">
            <w:pPr>
              <w:rPr>
                <w:rFonts w:ascii="Century Gothic" w:hAnsi="Century Gothic"/>
              </w:rPr>
            </w:pPr>
          </w:p>
        </w:tc>
        <w:tc>
          <w:tcPr>
            <w:tcW w:w="1620" w:type="dxa"/>
            <w:gridSpan w:val="2"/>
            <w:tcBorders>
              <w:top w:val="nil"/>
              <w:left w:val="nil"/>
              <w:bottom w:val="nil"/>
              <w:right w:val="nil"/>
            </w:tcBorders>
          </w:tcPr>
          <w:p w:rsidR="001E46DE" w:rsidRPr="009620D0" w:rsidRDefault="001E46DE" w:rsidP="00170927">
            <w:pPr>
              <w:jc w:val="center"/>
              <w:rPr>
                <w:rFonts w:ascii="Century Gothic" w:hAnsi="Century Gothic"/>
                <w:b/>
              </w:rPr>
            </w:pPr>
          </w:p>
        </w:tc>
        <w:tc>
          <w:tcPr>
            <w:tcW w:w="270" w:type="dxa"/>
            <w:tcBorders>
              <w:top w:val="nil"/>
              <w:left w:val="nil"/>
              <w:bottom w:val="nil"/>
              <w:right w:val="nil"/>
            </w:tcBorders>
          </w:tcPr>
          <w:p w:rsidR="001E46DE" w:rsidRPr="009620D0" w:rsidRDefault="001E46DE" w:rsidP="00170927">
            <w:pPr>
              <w:jc w:val="center"/>
              <w:rPr>
                <w:rFonts w:ascii="Century Gothic" w:hAnsi="Century Gothic"/>
                <w:b/>
              </w:rPr>
            </w:pPr>
          </w:p>
        </w:tc>
        <w:tc>
          <w:tcPr>
            <w:tcW w:w="2070" w:type="dxa"/>
            <w:gridSpan w:val="4"/>
            <w:tcBorders>
              <w:top w:val="nil"/>
              <w:left w:val="nil"/>
              <w:bottom w:val="nil"/>
              <w:right w:val="nil"/>
            </w:tcBorders>
          </w:tcPr>
          <w:p w:rsidR="001E46DE" w:rsidRPr="009620D0" w:rsidRDefault="001E46DE" w:rsidP="004F50DE">
            <w:pPr>
              <w:jc w:val="center"/>
              <w:rPr>
                <w:rFonts w:ascii="Century Gothic" w:hAnsi="Century Gothic"/>
                <w:b/>
              </w:rPr>
            </w:pPr>
            <w:r w:rsidRPr="009620D0">
              <w:rPr>
                <w:rFonts w:ascii="Century Gothic" w:hAnsi="Century Gothic"/>
                <w:b/>
              </w:rPr>
              <w:t>(</w:t>
            </w:r>
            <w:r w:rsidR="004F50DE">
              <w:rPr>
                <w:rFonts w:ascii="Century Gothic" w:hAnsi="Century Gothic"/>
                <w:b/>
              </w:rPr>
              <w:t>Audited</w:t>
            </w:r>
            <w:r w:rsidRPr="009620D0">
              <w:rPr>
                <w:rFonts w:ascii="Century Gothic" w:hAnsi="Century Gothic"/>
                <w:b/>
              </w:rPr>
              <w:t>)</w:t>
            </w:r>
          </w:p>
        </w:tc>
      </w:tr>
      <w:tr w:rsidR="001E46DE" w:rsidRPr="009620D0" w:rsidTr="00D355AB">
        <w:tc>
          <w:tcPr>
            <w:tcW w:w="5400" w:type="dxa"/>
            <w:tcBorders>
              <w:top w:val="nil"/>
              <w:left w:val="nil"/>
              <w:bottom w:val="nil"/>
              <w:right w:val="nil"/>
            </w:tcBorders>
          </w:tcPr>
          <w:p w:rsidR="001E46DE" w:rsidRPr="009620D0" w:rsidRDefault="001E46DE" w:rsidP="00170927">
            <w:pPr>
              <w:rPr>
                <w:rFonts w:ascii="Century Gothic" w:hAnsi="Century Gothic"/>
              </w:rPr>
            </w:pPr>
          </w:p>
        </w:tc>
        <w:tc>
          <w:tcPr>
            <w:tcW w:w="1620" w:type="dxa"/>
            <w:gridSpan w:val="2"/>
            <w:tcBorders>
              <w:top w:val="nil"/>
              <w:left w:val="nil"/>
              <w:bottom w:val="nil"/>
              <w:right w:val="nil"/>
            </w:tcBorders>
          </w:tcPr>
          <w:p w:rsidR="001E46DE" w:rsidRPr="009620D0" w:rsidRDefault="001E46DE" w:rsidP="00170927">
            <w:pPr>
              <w:jc w:val="center"/>
              <w:rPr>
                <w:rFonts w:ascii="Century Gothic" w:hAnsi="Century Gothic"/>
                <w:b/>
              </w:rPr>
            </w:pPr>
            <w:r w:rsidRPr="009620D0">
              <w:rPr>
                <w:rFonts w:ascii="Century Gothic" w:hAnsi="Century Gothic"/>
                <w:b/>
              </w:rPr>
              <w:t>RM’000</w:t>
            </w:r>
          </w:p>
        </w:tc>
        <w:tc>
          <w:tcPr>
            <w:tcW w:w="270" w:type="dxa"/>
            <w:tcBorders>
              <w:top w:val="nil"/>
              <w:left w:val="nil"/>
              <w:bottom w:val="nil"/>
              <w:right w:val="nil"/>
            </w:tcBorders>
          </w:tcPr>
          <w:p w:rsidR="001E46DE" w:rsidRPr="009620D0" w:rsidRDefault="001E46DE" w:rsidP="00170927">
            <w:pPr>
              <w:jc w:val="center"/>
              <w:rPr>
                <w:rFonts w:ascii="Century Gothic" w:hAnsi="Century Gothic"/>
                <w:b/>
              </w:rPr>
            </w:pPr>
          </w:p>
        </w:tc>
        <w:tc>
          <w:tcPr>
            <w:tcW w:w="2070" w:type="dxa"/>
            <w:gridSpan w:val="4"/>
            <w:tcBorders>
              <w:top w:val="nil"/>
              <w:left w:val="nil"/>
              <w:bottom w:val="nil"/>
              <w:right w:val="nil"/>
            </w:tcBorders>
          </w:tcPr>
          <w:p w:rsidR="001E46DE" w:rsidRPr="009620D0" w:rsidRDefault="001E46DE" w:rsidP="00170927">
            <w:pPr>
              <w:jc w:val="center"/>
              <w:rPr>
                <w:rFonts w:ascii="Century Gothic" w:hAnsi="Century Gothic"/>
                <w:b/>
              </w:rPr>
            </w:pPr>
            <w:r w:rsidRPr="009620D0">
              <w:rPr>
                <w:rFonts w:ascii="Century Gothic" w:hAnsi="Century Gothic"/>
                <w:b/>
              </w:rPr>
              <w:t>RM’000</w:t>
            </w:r>
          </w:p>
        </w:tc>
      </w:tr>
      <w:tr w:rsidR="001E46DE" w:rsidRPr="009620D0" w:rsidTr="00D355AB">
        <w:tc>
          <w:tcPr>
            <w:tcW w:w="5400" w:type="dxa"/>
            <w:tcBorders>
              <w:top w:val="nil"/>
              <w:left w:val="nil"/>
              <w:bottom w:val="nil"/>
              <w:right w:val="nil"/>
            </w:tcBorders>
          </w:tcPr>
          <w:p w:rsidR="001E46DE" w:rsidRPr="009620D0" w:rsidRDefault="001E46DE" w:rsidP="00170927">
            <w:pPr>
              <w:rPr>
                <w:rFonts w:ascii="Century Gothic" w:hAnsi="Century Gothic"/>
              </w:rPr>
            </w:pPr>
          </w:p>
        </w:tc>
        <w:tc>
          <w:tcPr>
            <w:tcW w:w="1620" w:type="dxa"/>
            <w:gridSpan w:val="2"/>
            <w:tcBorders>
              <w:top w:val="nil"/>
              <w:left w:val="nil"/>
              <w:bottom w:val="nil"/>
              <w:right w:val="nil"/>
            </w:tcBorders>
          </w:tcPr>
          <w:p w:rsidR="001E46DE" w:rsidRPr="009620D0" w:rsidRDefault="001E46DE" w:rsidP="00170927">
            <w:pPr>
              <w:rPr>
                <w:rFonts w:ascii="Century Gothic" w:hAnsi="Century Gothic"/>
              </w:rPr>
            </w:pPr>
          </w:p>
        </w:tc>
        <w:tc>
          <w:tcPr>
            <w:tcW w:w="270" w:type="dxa"/>
            <w:tcBorders>
              <w:top w:val="nil"/>
              <w:left w:val="nil"/>
              <w:bottom w:val="nil"/>
              <w:right w:val="nil"/>
            </w:tcBorders>
          </w:tcPr>
          <w:p w:rsidR="001E46DE" w:rsidRPr="009620D0" w:rsidRDefault="001E46DE" w:rsidP="00170927">
            <w:pPr>
              <w:rPr>
                <w:rFonts w:ascii="Century Gothic" w:hAnsi="Century Gothic"/>
              </w:rPr>
            </w:pPr>
          </w:p>
        </w:tc>
        <w:tc>
          <w:tcPr>
            <w:tcW w:w="2070" w:type="dxa"/>
            <w:gridSpan w:val="4"/>
            <w:tcBorders>
              <w:top w:val="nil"/>
              <w:left w:val="nil"/>
              <w:bottom w:val="nil"/>
              <w:right w:val="nil"/>
            </w:tcBorders>
          </w:tcPr>
          <w:p w:rsidR="001E46DE" w:rsidRPr="009620D0" w:rsidRDefault="001E46DE" w:rsidP="00170927">
            <w:pPr>
              <w:rPr>
                <w:rFonts w:ascii="Century Gothic" w:hAnsi="Century Gothic"/>
              </w:rPr>
            </w:pPr>
          </w:p>
        </w:tc>
      </w:tr>
      <w:tr w:rsidR="001E46DE" w:rsidRPr="009620D0" w:rsidTr="00D355AB">
        <w:tc>
          <w:tcPr>
            <w:tcW w:w="5400" w:type="dxa"/>
            <w:tcBorders>
              <w:top w:val="nil"/>
              <w:left w:val="nil"/>
              <w:bottom w:val="nil"/>
              <w:right w:val="nil"/>
            </w:tcBorders>
          </w:tcPr>
          <w:p w:rsidR="001E46DE" w:rsidRPr="009620D0" w:rsidRDefault="001E46DE" w:rsidP="00170927">
            <w:pPr>
              <w:rPr>
                <w:rFonts w:ascii="Century Gothic" w:hAnsi="Century Gothic"/>
              </w:rPr>
            </w:pPr>
            <w:r w:rsidRPr="009620D0">
              <w:rPr>
                <w:rFonts w:ascii="Century Gothic" w:hAnsi="Century Gothic"/>
              </w:rPr>
              <w:t>Total accumulated losses of the Group:</w:t>
            </w:r>
          </w:p>
        </w:tc>
        <w:tc>
          <w:tcPr>
            <w:tcW w:w="1620" w:type="dxa"/>
            <w:gridSpan w:val="2"/>
            <w:tcBorders>
              <w:top w:val="nil"/>
              <w:left w:val="nil"/>
              <w:bottom w:val="nil"/>
              <w:right w:val="nil"/>
            </w:tcBorders>
          </w:tcPr>
          <w:p w:rsidR="001E46DE" w:rsidRPr="009620D0" w:rsidRDefault="001E46DE" w:rsidP="00170927">
            <w:pPr>
              <w:rPr>
                <w:rFonts w:ascii="Century Gothic" w:hAnsi="Century Gothic"/>
                <w:highlight w:val="red"/>
              </w:rPr>
            </w:pPr>
          </w:p>
        </w:tc>
        <w:tc>
          <w:tcPr>
            <w:tcW w:w="270" w:type="dxa"/>
            <w:tcBorders>
              <w:top w:val="nil"/>
              <w:left w:val="nil"/>
              <w:bottom w:val="nil"/>
              <w:right w:val="nil"/>
            </w:tcBorders>
          </w:tcPr>
          <w:p w:rsidR="001E46DE" w:rsidRPr="009620D0" w:rsidRDefault="001E46DE" w:rsidP="00170927">
            <w:pPr>
              <w:rPr>
                <w:rFonts w:ascii="Century Gothic" w:hAnsi="Century Gothic"/>
              </w:rPr>
            </w:pPr>
          </w:p>
        </w:tc>
        <w:tc>
          <w:tcPr>
            <w:tcW w:w="2070" w:type="dxa"/>
            <w:gridSpan w:val="4"/>
            <w:tcBorders>
              <w:top w:val="nil"/>
              <w:left w:val="nil"/>
              <w:bottom w:val="nil"/>
              <w:right w:val="nil"/>
            </w:tcBorders>
          </w:tcPr>
          <w:p w:rsidR="001E46DE" w:rsidRPr="009620D0" w:rsidRDefault="001E46DE" w:rsidP="00170927">
            <w:pPr>
              <w:rPr>
                <w:rFonts w:ascii="Century Gothic" w:hAnsi="Century Gothic"/>
              </w:rPr>
            </w:pPr>
          </w:p>
        </w:tc>
      </w:tr>
      <w:tr w:rsidR="00885CF5" w:rsidRPr="009620D0" w:rsidTr="00D355AB">
        <w:tc>
          <w:tcPr>
            <w:tcW w:w="5400" w:type="dxa"/>
            <w:tcBorders>
              <w:top w:val="nil"/>
              <w:left w:val="nil"/>
              <w:bottom w:val="nil"/>
              <w:right w:val="nil"/>
            </w:tcBorders>
          </w:tcPr>
          <w:p w:rsidR="00885CF5" w:rsidRPr="009620D0" w:rsidRDefault="00885CF5" w:rsidP="00333DD6">
            <w:pPr>
              <w:pStyle w:val="ListParagraph"/>
              <w:numPr>
                <w:ilvl w:val="0"/>
                <w:numId w:val="3"/>
              </w:numPr>
              <w:rPr>
                <w:rFonts w:ascii="Century Gothic" w:hAnsi="Century Gothic"/>
              </w:rPr>
            </w:pPr>
            <w:r w:rsidRPr="009620D0">
              <w:rPr>
                <w:rFonts w:ascii="Century Gothic" w:hAnsi="Century Gothic"/>
              </w:rPr>
              <w:t>Realised</w:t>
            </w:r>
            <w:r>
              <w:rPr>
                <w:rFonts w:ascii="Century Gothic" w:hAnsi="Century Gothic"/>
              </w:rPr>
              <w:t xml:space="preserve"> </w:t>
            </w:r>
            <w:r w:rsidRPr="009620D0">
              <w:rPr>
                <w:rFonts w:ascii="Century Gothic" w:hAnsi="Century Gothic"/>
              </w:rPr>
              <w:t>losses</w:t>
            </w:r>
          </w:p>
        </w:tc>
        <w:tc>
          <w:tcPr>
            <w:tcW w:w="1620" w:type="dxa"/>
            <w:gridSpan w:val="2"/>
            <w:tcBorders>
              <w:top w:val="nil"/>
              <w:left w:val="nil"/>
              <w:bottom w:val="nil"/>
              <w:right w:val="nil"/>
            </w:tcBorders>
          </w:tcPr>
          <w:p w:rsidR="00885CF5" w:rsidRPr="009620D0" w:rsidRDefault="00885CF5" w:rsidP="00C12706">
            <w:pPr>
              <w:jc w:val="center"/>
              <w:rPr>
                <w:rFonts w:ascii="Century Gothic" w:hAnsi="Century Gothic"/>
              </w:rPr>
            </w:pPr>
            <w:r>
              <w:rPr>
                <w:rFonts w:ascii="Century Gothic" w:hAnsi="Century Gothic"/>
              </w:rPr>
              <w:t>(</w:t>
            </w:r>
            <w:r w:rsidR="00DA60EE">
              <w:rPr>
                <w:rFonts w:ascii="Century Gothic" w:hAnsi="Century Gothic"/>
              </w:rPr>
              <w:t>44,</w:t>
            </w:r>
            <w:r w:rsidR="00C12706">
              <w:rPr>
                <w:rFonts w:ascii="Century Gothic" w:hAnsi="Century Gothic"/>
              </w:rPr>
              <w:t>383</w:t>
            </w:r>
            <w:r>
              <w:rPr>
                <w:rFonts w:ascii="Century Gothic" w:hAnsi="Century Gothic"/>
              </w:rPr>
              <w:t>)</w:t>
            </w:r>
          </w:p>
        </w:tc>
        <w:tc>
          <w:tcPr>
            <w:tcW w:w="270" w:type="dxa"/>
            <w:tcBorders>
              <w:top w:val="nil"/>
              <w:left w:val="nil"/>
              <w:bottom w:val="nil"/>
              <w:right w:val="nil"/>
            </w:tcBorders>
          </w:tcPr>
          <w:p w:rsidR="00885CF5" w:rsidRPr="009620D0" w:rsidRDefault="00885CF5" w:rsidP="00CE0A1F">
            <w:pPr>
              <w:ind w:right="162"/>
              <w:jc w:val="center"/>
              <w:rPr>
                <w:rFonts w:ascii="Century Gothic" w:hAnsi="Century Gothic"/>
              </w:rPr>
            </w:pPr>
          </w:p>
        </w:tc>
        <w:tc>
          <w:tcPr>
            <w:tcW w:w="2070" w:type="dxa"/>
            <w:gridSpan w:val="4"/>
            <w:tcBorders>
              <w:top w:val="nil"/>
              <w:left w:val="nil"/>
              <w:bottom w:val="nil"/>
              <w:right w:val="nil"/>
            </w:tcBorders>
          </w:tcPr>
          <w:p w:rsidR="00885CF5" w:rsidRPr="009620D0" w:rsidRDefault="00885CF5" w:rsidP="001802AA">
            <w:pPr>
              <w:jc w:val="center"/>
              <w:rPr>
                <w:rFonts w:ascii="Century Gothic" w:hAnsi="Century Gothic"/>
              </w:rPr>
            </w:pPr>
            <w:r>
              <w:rPr>
                <w:rFonts w:ascii="Century Gothic" w:hAnsi="Century Gothic"/>
              </w:rPr>
              <w:t>(</w:t>
            </w:r>
            <w:r w:rsidR="00DA60EE">
              <w:rPr>
                <w:rFonts w:ascii="Century Gothic" w:hAnsi="Century Gothic"/>
              </w:rPr>
              <w:t>44,46</w:t>
            </w:r>
            <w:r w:rsidR="001802AA">
              <w:rPr>
                <w:rFonts w:ascii="Century Gothic" w:hAnsi="Century Gothic"/>
              </w:rPr>
              <w:t>6</w:t>
            </w:r>
            <w:r>
              <w:rPr>
                <w:rFonts w:ascii="Century Gothic" w:hAnsi="Century Gothic"/>
              </w:rPr>
              <w:t>)</w:t>
            </w:r>
          </w:p>
        </w:tc>
      </w:tr>
      <w:tr w:rsidR="001E46DE" w:rsidRPr="009620D0" w:rsidTr="00D355AB">
        <w:trPr>
          <w:gridAfter w:val="2"/>
          <w:wAfter w:w="409" w:type="dxa"/>
        </w:trPr>
        <w:tc>
          <w:tcPr>
            <w:tcW w:w="5400" w:type="dxa"/>
            <w:tcBorders>
              <w:top w:val="nil"/>
              <w:left w:val="nil"/>
              <w:bottom w:val="nil"/>
              <w:right w:val="nil"/>
            </w:tcBorders>
          </w:tcPr>
          <w:p w:rsidR="001E46DE" w:rsidRPr="009620D0" w:rsidRDefault="001E46DE" w:rsidP="008671B6">
            <w:pPr>
              <w:pStyle w:val="ListParagraph"/>
              <w:numPr>
                <w:ilvl w:val="0"/>
                <w:numId w:val="3"/>
              </w:numPr>
              <w:rPr>
                <w:rFonts w:ascii="Century Gothic" w:hAnsi="Century Gothic"/>
              </w:rPr>
            </w:pPr>
            <w:r w:rsidRPr="009620D0">
              <w:rPr>
                <w:rFonts w:ascii="Century Gothic" w:hAnsi="Century Gothic"/>
              </w:rPr>
              <w:t>Unrealised gain</w:t>
            </w:r>
          </w:p>
        </w:tc>
        <w:tc>
          <w:tcPr>
            <w:tcW w:w="1530" w:type="dxa"/>
            <w:tcBorders>
              <w:top w:val="nil"/>
              <w:left w:val="nil"/>
              <w:bottom w:val="nil"/>
              <w:right w:val="nil"/>
            </w:tcBorders>
          </w:tcPr>
          <w:p w:rsidR="001E46DE" w:rsidRPr="009620D0" w:rsidRDefault="00DA60EE" w:rsidP="00116953">
            <w:pPr>
              <w:ind w:right="-18"/>
              <w:jc w:val="center"/>
              <w:rPr>
                <w:rFonts w:ascii="Century Gothic" w:hAnsi="Century Gothic"/>
              </w:rPr>
            </w:pPr>
            <w:r>
              <w:rPr>
                <w:rFonts w:ascii="Century Gothic" w:hAnsi="Century Gothic"/>
              </w:rPr>
              <w:t xml:space="preserve">         2</w:t>
            </w:r>
          </w:p>
        </w:tc>
        <w:tc>
          <w:tcPr>
            <w:tcW w:w="630" w:type="dxa"/>
            <w:gridSpan w:val="3"/>
            <w:tcBorders>
              <w:top w:val="nil"/>
              <w:left w:val="nil"/>
              <w:bottom w:val="nil"/>
              <w:right w:val="nil"/>
            </w:tcBorders>
          </w:tcPr>
          <w:p w:rsidR="001E46DE" w:rsidRPr="009620D0" w:rsidRDefault="001E46DE" w:rsidP="00CE0A1F">
            <w:pPr>
              <w:ind w:left="-198" w:right="162"/>
              <w:jc w:val="center"/>
              <w:rPr>
                <w:rFonts w:ascii="Century Gothic" w:hAnsi="Century Gothic"/>
              </w:rPr>
            </w:pPr>
          </w:p>
        </w:tc>
        <w:tc>
          <w:tcPr>
            <w:tcW w:w="1391" w:type="dxa"/>
            <w:tcBorders>
              <w:top w:val="nil"/>
              <w:left w:val="nil"/>
              <w:bottom w:val="nil"/>
              <w:right w:val="nil"/>
            </w:tcBorders>
          </w:tcPr>
          <w:p w:rsidR="001E46DE" w:rsidRPr="009620D0" w:rsidRDefault="001802AA" w:rsidP="00172581">
            <w:pPr>
              <w:tabs>
                <w:tab w:val="left" w:pos="972"/>
              </w:tabs>
              <w:ind w:right="203"/>
              <w:jc w:val="right"/>
              <w:rPr>
                <w:rFonts w:ascii="Century Gothic" w:hAnsi="Century Gothic"/>
              </w:rPr>
            </w:pPr>
            <w:r>
              <w:rPr>
                <w:rFonts w:ascii="Century Gothic" w:hAnsi="Century Gothic"/>
              </w:rPr>
              <w:t>464</w:t>
            </w:r>
          </w:p>
        </w:tc>
      </w:tr>
      <w:tr w:rsidR="001E46DE" w:rsidRPr="009620D0" w:rsidTr="00D355AB">
        <w:trPr>
          <w:gridAfter w:val="1"/>
          <w:wAfter w:w="319" w:type="dxa"/>
        </w:trPr>
        <w:tc>
          <w:tcPr>
            <w:tcW w:w="5400" w:type="dxa"/>
            <w:tcBorders>
              <w:top w:val="nil"/>
              <w:left w:val="nil"/>
              <w:bottom w:val="nil"/>
              <w:right w:val="nil"/>
            </w:tcBorders>
          </w:tcPr>
          <w:p w:rsidR="001E46DE" w:rsidRPr="009620D0" w:rsidRDefault="001E46DE" w:rsidP="00170927">
            <w:pPr>
              <w:pStyle w:val="ListParagraph"/>
              <w:ind w:left="405"/>
              <w:rPr>
                <w:rFonts w:ascii="Century Gothic" w:hAnsi="Century Gothic"/>
                <w:sz w:val="16"/>
                <w:szCs w:val="16"/>
              </w:rPr>
            </w:pPr>
          </w:p>
        </w:tc>
        <w:tc>
          <w:tcPr>
            <w:tcW w:w="1620" w:type="dxa"/>
            <w:gridSpan w:val="2"/>
            <w:tcBorders>
              <w:top w:val="nil"/>
              <w:left w:val="nil"/>
              <w:bottom w:val="single" w:sz="4" w:space="0" w:color="auto"/>
              <w:right w:val="nil"/>
            </w:tcBorders>
          </w:tcPr>
          <w:p w:rsidR="001E46DE" w:rsidRPr="009620D0" w:rsidRDefault="001E46DE" w:rsidP="00CE0A1F">
            <w:pPr>
              <w:ind w:right="252"/>
              <w:jc w:val="center"/>
              <w:rPr>
                <w:rFonts w:ascii="Century Gothic" w:hAnsi="Century Gothic"/>
                <w:sz w:val="16"/>
                <w:szCs w:val="16"/>
              </w:rPr>
            </w:pPr>
          </w:p>
        </w:tc>
        <w:tc>
          <w:tcPr>
            <w:tcW w:w="270" w:type="dxa"/>
            <w:tcBorders>
              <w:top w:val="nil"/>
              <w:left w:val="nil"/>
              <w:bottom w:val="nil"/>
              <w:right w:val="nil"/>
            </w:tcBorders>
          </w:tcPr>
          <w:p w:rsidR="001E46DE" w:rsidRPr="009620D0" w:rsidRDefault="001E46DE" w:rsidP="00CE0A1F">
            <w:pPr>
              <w:ind w:right="162"/>
              <w:jc w:val="center"/>
              <w:rPr>
                <w:rFonts w:ascii="Century Gothic" w:hAnsi="Century Gothic"/>
                <w:sz w:val="16"/>
                <w:szCs w:val="16"/>
              </w:rPr>
            </w:pPr>
          </w:p>
        </w:tc>
        <w:tc>
          <w:tcPr>
            <w:tcW w:w="1751" w:type="dxa"/>
            <w:gridSpan w:val="3"/>
            <w:tcBorders>
              <w:top w:val="nil"/>
              <w:left w:val="nil"/>
              <w:bottom w:val="single" w:sz="4" w:space="0" w:color="auto"/>
              <w:right w:val="nil"/>
            </w:tcBorders>
          </w:tcPr>
          <w:p w:rsidR="001E46DE" w:rsidRPr="009620D0" w:rsidRDefault="001E46DE" w:rsidP="00172581">
            <w:pPr>
              <w:ind w:right="162"/>
              <w:jc w:val="center"/>
              <w:rPr>
                <w:rFonts w:ascii="Century Gothic" w:hAnsi="Century Gothic"/>
                <w:sz w:val="16"/>
                <w:szCs w:val="16"/>
              </w:rPr>
            </w:pPr>
          </w:p>
        </w:tc>
      </w:tr>
      <w:tr w:rsidR="00885CF5" w:rsidRPr="009620D0" w:rsidTr="00D355AB">
        <w:trPr>
          <w:gridAfter w:val="1"/>
          <w:wAfter w:w="319" w:type="dxa"/>
        </w:trPr>
        <w:tc>
          <w:tcPr>
            <w:tcW w:w="5400" w:type="dxa"/>
            <w:tcBorders>
              <w:top w:val="nil"/>
              <w:left w:val="nil"/>
              <w:bottom w:val="nil"/>
              <w:right w:val="nil"/>
            </w:tcBorders>
          </w:tcPr>
          <w:p w:rsidR="00885CF5" w:rsidRPr="009620D0" w:rsidRDefault="00885CF5" w:rsidP="00170927">
            <w:pPr>
              <w:rPr>
                <w:rFonts w:ascii="Century Gothic" w:hAnsi="Century Gothic"/>
              </w:rPr>
            </w:pPr>
            <w:r w:rsidRPr="009620D0">
              <w:rPr>
                <w:rFonts w:ascii="Century Gothic" w:hAnsi="Century Gothic"/>
              </w:rPr>
              <w:t xml:space="preserve">Total </w:t>
            </w:r>
          </w:p>
        </w:tc>
        <w:tc>
          <w:tcPr>
            <w:tcW w:w="1620" w:type="dxa"/>
            <w:gridSpan w:val="2"/>
            <w:tcBorders>
              <w:left w:val="nil"/>
              <w:bottom w:val="double" w:sz="4" w:space="0" w:color="auto"/>
              <w:right w:val="nil"/>
            </w:tcBorders>
          </w:tcPr>
          <w:p w:rsidR="00885CF5" w:rsidRPr="009620D0" w:rsidRDefault="00DA60EE" w:rsidP="00C12706">
            <w:pPr>
              <w:jc w:val="center"/>
              <w:rPr>
                <w:rFonts w:ascii="Century Gothic" w:hAnsi="Century Gothic"/>
              </w:rPr>
            </w:pPr>
            <w:r w:rsidRPr="00DA60EE">
              <w:rPr>
                <w:rFonts w:ascii="Century Gothic" w:hAnsi="Century Gothic"/>
              </w:rPr>
              <w:t>(44,</w:t>
            </w:r>
            <w:r w:rsidR="00C12706">
              <w:rPr>
                <w:rFonts w:ascii="Century Gothic" w:hAnsi="Century Gothic"/>
              </w:rPr>
              <w:t>381</w:t>
            </w:r>
            <w:r w:rsidRPr="00DA60EE">
              <w:rPr>
                <w:rFonts w:ascii="Century Gothic" w:hAnsi="Century Gothic"/>
              </w:rPr>
              <w:t>)</w:t>
            </w:r>
          </w:p>
        </w:tc>
        <w:tc>
          <w:tcPr>
            <w:tcW w:w="270" w:type="dxa"/>
            <w:tcBorders>
              <w:top w:val="nil"/>
              <w:left w:val="nil"/>
              <w:bottom w:val="nil"/>
              <w:right w:val="nil"/>
            </w:tcBorders>
          </w:tcPr>
          <w:p w:rsidR="00885CF5" w:rsidRPr="009620D0" w:rsidRDefault="00885CF5" w:rsidP="00CE0A1F">
            <w:pPr>
              <w:ind w:right="162"/>
              <w:jc w:val="center"/>
              <w:rPr>
                <w:rFonts w:ascii="Century Gothic" w:hAnsi="Century Gothic"/>
              </w:rPr>
            </w:pPr>
          </w:p>
        </w:tc>
        <w:tc>
          <w:tcPr>
            <w:tcW w:w="1751" w:type="dxa"/>
            <w:gridSpan w:val="3"/>
            <w:tcBorders>
              <w:left w:val="nil"/>
              <w:bottom w:val="double" w:sz="4" w:space="0" w:color="auto"/>
              <w:right w:val="nil"/>
            </w:tcBorders>
          </w:tcPr>
          <w:p w:rsidR="00885CF5" w:rsidRPr="009620D0" w:rsidRDefault="00DA60EE" w:rsidP="001802AA">
            <w:pPr>
              <w:jc w:val="center"/>
              <w:rPr>
                <w:rFonts w:ascii="Century Gothic" w:hAnsi="Century Gothic"/>
              </w:rPr>
            </w:pPr>
            <w:r>
              <w:rPr>
                <w:rFonts w:ascii="Century Gothic" w:hAnsi="Century Gothic"/>
              </w:rPr>
              <w:t xml:space="preserve">     (44,00</w:t>
            </w:r>
            <w:r w:rsidR="001802AA">
              <w:rPr>
                <w:rFonts w:ascii="Century Gothic" w:hAnsi="Century Gothic"/>
              </w:rPr>
              <w:t>2</w:t>
            </w:r>
            <w:r w:rsidRPr="00DA60EE">
              <w:rPr>
                <w:rFonts w:ascii="Century Gothic" w:hAnsi="Century Gothic"/>
              </w:rPr>
              <w:t>)</w:t>
            </w:r>
          </w:p>
        </w:tc>
      </w:tr>
    </w:tbl>
    <w:p w:rsidR="00D73DFD" w:rsidRPr="009620D0" w:rsidRDefault="00D73DFD" w:rsidP="00BC7296">
      <w:pPr>
        <w:rPr>
          <w:rFonts w:ascii="Century Gothic" w:hAnsi="Century Gothic"/>
        </w:rPr>
      </w:pPr>
    </w:p>
    <w:p w:rsidR="00FA41F7" w:rsidRDefault="009212A5" w:rsidP="00FA41F7">
      <w:pPr>
        <w:widowControl w:val="0"/>
        <w:autoSpaceDE w:val="0"/>
        <w:autoSpaceDN w:val="0"/>
        <w:adjustRightInd w:val="0"/>
        <w:spacing w:before="4" w:line="240" w:lineRule="exact"/>
        <w:ind w:left="720"/>
        <w:jc w:val="both"/>
        <w:rPr>
          <w:rFonts w:ascii="Century Gothic" w:hAnsi="Century Gothic" w:cs="Century Gothic"/>
        </w:rPr>
      </w:pPr>
      <w:r w:rsidRPr="009620D0">
        <w:rPr>
          <w:rFonts w:ascii="Century Gothic" w:hAnsi="Century Gothic" w:cs="Century Gothic"/>
        </w:rPr>
        <w:t xml:space="preserve">The disclosure of realised and unrealised losses above is solely for complying with the disclosure requirements stipulated in the directive of Bursa </w:t>
      </w:r>
      <w:r w:rsidR="00A672C2">
        <w:rPr>
          <w:rFonts w:ascii="Century Gothic" w:hAnsi="Century Gothic" w:cs="Century Gothic"/>
        </w:rPr>
        <w:t>Securities</w:t>
      </w:r>
      <w:r w:rsidRPr="009620D0">
        <w:rPr>
          <w:rFonts w:ascii="Century Gothic" w:hAnsi="Century Gothic" w:cs="Century Gothic"/>
        </w:rPr>
        <w:t xml:space="preserve"> and should not be applied for any other purposes.</w:t>
      </w:r>
    </w:p>
    <w:p w:rsidR="0076383A" w:rsidRDefault="0076383A" w:rsidP="00FA41F7">
      <w:pPr>
        <w:widowControl w:val="0"/>
        <w:autoSpaceDE w:val="0"/>
        <w:autoSpaceDN w:val="0"/>
        <w:adjustRightInd w:val="0"/>
        <w:spacing w:before="4" w:line="240" w:lineRule="exact"/>
        <w:ind w:left="720"/>
        <w:jc w:val="both"/>
        <w:rPr>
          <w:rFonts w:ascii="Century Gothic" w:hAnsi="Century Gothic" w:cs="Century Gothic"/>
        </w:rPr>
      </w:pPr>
    </w:p>
    <w:p w:rsidR="0076383A" w:rsidRDefault="0076383A" w:rsidP="00FA41F7">
      <w:pPr>
        <w:widowControl w:val="0"/>
        <w:autoSpaceDE w:val="0"/>
        <w:autoSpaceDN w:val="0"/>
        <w:adjustRightInd w:val="0"/>
        <w:spacing w:before="4" w:line="240" w:lineRule="exact"/>
        <w:ind w:left="720"/>
        <w:jc w:val="both"/>
        <w:rPr>
          <w:rFonts w:ascii="Century Gothic" w:hAnsi="Century Gothic" w:cs="Century Gothic"/>
        </w:rPr>
      </w:pPr>
    </w:p>
    <w:p w:rsidR="0076383A" w:rsidRDefault="0076383A" w:rsidP="00FA41F7">
      <w:pPr>
        <w:widowControl w:val="0"/>
        <w:autoSpaceDE w:val="0"/>
        <w:autoSpaceDN w:val="0"/>
        <w:adjustRightInd w:val="0"/>
        <w:spacing w:before="4" w:line="240" w:lineRule="exact"/>
        <w:ind w:left="720"/>
        <w:jc w:val="both"/>
        <w:rPr>
          <w:rFonts w:ascii="Century Gothic" w:hAnsi="Century Gothic" w:cs="Century Gothic"/>
        </w:rPr>
      </w:pPr>
    </w:p>
    <w:p w:rsidR="0076383A" w:rsidRDefault="0076383A" w:rsidP="00FA41F7">
      <w:pPr>
        <w:widowControl w:val="0"/>
        <w:autoSpaceDE w:val="0"/>
        <w:autoSpaceDN w:val="0"/>
        <w:adjustRightInd w:val="0"/>
        <w:spacing w:before="4" w:line="240" w:lineRule="exact"/>
        <w:ind w:left="720"/>
        <w:jc w:val="both"/>
        <w:rPr>
          <w:rFonts w:ascii="Century Gothic" w:hAnsi="Century Gothic" w:cs="Century Gothic"/>
        </w:rPr>
      </w:pPr>
    </w:p>
    <w:p w:rsidR="0076383A" w:rsidRDefault="0076383A" w:rsidP="00FA41F7">
      <w:pPr>
        <w:widowControl w:val="0"/>
        <w:autoSpaceDE w:val="0"/>
        <w:autoSpaceDN w:val="0"/>
        <w:adjustRightInd w:val="0"/>
        <w:spacing w:before="4" w:line="240" w:lineRule="exact"/>
        <w:ind w:left="720"/>
        <w:jc w:val="both"/>
        <w:rPr>
          <w:rFonts w:ascii="Century Gothic" w:hAnsi="Century Gothic" w:cs="Century Gothic"/>
        </w:rPr>
      </w:pPr>
    </w:p>
    <w:p w:rsidR="0076383A" w:rsidRDefault="0076383A" w:rsidP="00FA41F7">
      <w:pPr>
        <w:widowControl w:val="0"/>
        <w:autoSpaceDE w:val="0"/>
        <w:autoSpaceDN w:val="0"/>
        <w:adjustRightInd w:val="0"/>
        <w:spacing w:before="4" w:line="240" w:lineRule="exact"/>
        <w:ind w:left="720"/>
        <w:jc w:val="both"/>
        <w:rPr>
          <w:rFonts w:ascii="Century Gothic" w:hAnsi="Century Gothic" w:cs="Century Gothic"/>
        </w:rPr>
      </w:pPr>
    </w:p>
    <w:p w:rsidR="0076383A" w:rsidRDefault="0076383A" w:rsidP="00FA41F7">
      <w:pPr>
        <w:widowControl w:val="0"/>
        <w:autoSpaceDE w:val="0"/>
        <w:autoSpaceDN w:val="0"/>
        <w:adjustRightInd w:val="0"/>
        <w:spacing w:before="4" w:line="240" w:lineRule="exact"/>
        <w:ind w:left="720"/>
        <w:jc w:val="both"/>
        <w:rPr>
          <w:rFonts w:ascii="Century Gothic" w:hAnsi="Century Gothic" w:cs="Century Gothic"/>
        </w:rPr>
      </w:pPr>
    </w:p>
    <w:p w:rsidR="0076383A" w:rsidRDefault="0076383A" w:rsidP="00FA41F7">
      <w:pPr>
        <w:widowControl w:val="0"/>
        <w:autoSpaceDE w:val="0"/>
        <w:autoSpaceDN w:val="0"/>
        <w:adjustRightInd w:val="0"/>
        <w:spacing w:before="4" w:line="240" w:lineRule="exact"/>
        <w:ind w:left="720"/>
        <w:jc w:val="both"/>
        <w:rPr>
          <w:rFonts w:ascii="Century Gothic" w:hAnsi="Century Gothic" w:cs="Century Gothic"/>
        </w:rPr>
      </w:pPr>
    </w:p>
    <w:p w:rsidR="0076383A" w:rsidRPr="009620D0" w:rsidRDefault="0076383A" w:rsidP="0076383A">
      <w:pPr>
        <w:ind w:left="720" w:hanging="720"/>
        <w:jc w:val="both"/>
        <w:rPr>
          <w:rFonts w:ascii="Century Gothic" w:hAnsi="Century Gothic"/>
          <w:b/>
        </w:rPr>
      </w:pPr>
      <w:r w:rsidRPr="009620D0">
        <w:rPr>
          <w:rFonts w:ascii="Century Gothic" w:hAnsi="Century Gothic"/>
          <w:b/>
        </w:rPr>
        <w:lastRenderedPageBreak/>
        <w:t>B</w:t>
      </w:r>
      <w:r w:rsidRPr="009620D0">
        <w:rPr>
          <w:rFonts w:ascii="Century Gothic" w:hAnsi="Century Gothic"/>
          <w:b/>
        </w:rPr>
        <w:tab/>
        <w:t>EXPLANATORY NOTES PURSUANT TO APPENDIX 9B OF THE ACE MARKET LISTING REQUIREMENTS OF BURSA SECURITIES (CONT’D)</w:t>
      </w:r>
    </w:p>
    <w:p w:rsidR="00F91412" w:rsidRDefault="00F91412" w:rsidP="009F18B9">
      <w:pPr>
        <w:pStyle w:val="ListParagraph"/>
        <w:ind w:left="1134"/>
        <w:jc w:val="both"/>
        <w:rPr>
          <w:rFonts w:ascii="Century Gothic" w:hAnsi="Century Gothic"/>
          <w:lang w:val="en-MY" w:eastAsia="en-MY"/>
        </w:rPr>
      </w:pPr>
    </w:p>
    <w:p w:rsidR="00490101" w:rsidRDefault="009212A5" w:rsidP="00871EE1">
      <w:pPr>
        <w:pStyle w:val="BodyText"/>
        <w:rPr>
          <w:rFonts w:ascii="Century Gothic" w:hAnsi="Century Gothic"/>
          <w:b/>
          <w:sz w:val="20"/>
        </w:rPr>
      </w:pPr>
      <w:r w:rsidRPr="009620D0">
        <w:rPr>
          <w:rFonts w:ascii="Century Gothic" w:hAnsi="Century Gothic"/>
          <w:b/>
          <w:sz w:val="20"/>
        </w:rPr>
        <w:t>B1</w:t>
      </w:r>
      <w:r w:rsidR="00E142D4">
        <w:rPr>
          <w:rFonts w:ascii="Century Gothic" w:hAnsi="Century Gothic"/>
          <w:b/>
          <w:sz w:val="20"/>
        </w:rPr>
        <w:t>2</w:t>
      </w:r>
      <w:r w:rsidRPr="009620D0">
        <w:rPr>
          <w:rFonts w:ascii="Century Gothic" w:hAnsi="Century Gothic"/>
          <w:b/>
          <w:sz w:val="20"/>
        </w:rPr>
        <w:tab/>
        <w:t>Additional Disclosures</w:t>
      </w:r>
      <w:r w:rsidR="00490101">
        <w:rPr>
          <w:rFonts w:ascii="Century Gothic" w:hAnsi="Century Gothic"/>
          <w:b/>
          <w:sz w:val="20"/>
        </w:rPr>
        <w:tab/>
      </w:r>
    </w:p>
    <w:p w:rsidR="00490101" w:rsidRDefault="00490101" w:rsidP="00490101">
      <w:pPr>
        <w:pStyle w:val="BodyText"/>
        <w:ind w:firstLine="720"/>
        <w:rPr>
          <w:noProof/>
          <w:lang w:val="en-MY" w:eastAsia="en-MY"/>
        </w:rPr>
      </w:pPr>
    </w:p>
    <w:p w:rsidR="005B13B4" w:rsidRPr="009620D0" w:rsidRDefault="00333DD6" w:rsidP="00490101">
      <w:pPr>
        <w:pStyle w:val="BodyText"/>
        <w:ind w:firstLine="720"/>
        <w:rPr>
          <w:rFonts w:ascii="Century Gothic" w:hAnsi="Century Gothic"/>
          <w:b/>
          <w:sz w:val="20"/>
        </w:rPr>
      </w:pPr>
      <w:r w:rsidRPr="00333DD6">
        <w:rPr>
          <w:noProof/>
          <w:lang w:eastAsia="zh-CN"/>
        </w:rPr>
        <w:drawing>
          <wp:inline distT="0" distB="0" distL="0" distR="0">
            <wp:extent cx="4695825" cy="2085975"/>
            <wp:effectExtent l="0" t="0" r="952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4695825" cy="2085975"/>
                    </a:xfrm>
                    <a:prstGeom prst="rect">
                      <a:avLst/>
                    </a:prstGeom>
                    <a:noFill/>
                    <a:ln w="9525">
                      <a:noFill/>
                      <a:miter lim="800000"/>
                      <a:headEnd/>
                      <a:tailEnd/>
                    </a:ln>
                  </pic:spPr>
                </pic:pic>
              </a:graphicData>
            </a:graphic>
          </wp:inline>
        </w:drawing>
      </w:r>
    </w:p>
    <w:p w:rsidR="00286ADD" w:rsidRPr="009620D0" w:rsidRDefault="00286ADD" w:rsidP="00E11AC2">
      <w:pPr>
        <w:ind w:left="720"/>
        <w:jc w:val="both"/>
        <w:rPr>
          <w:rFonts w:ascii="Century Gothic" w:hAnsi="Century Gothic" w:cs="Arial"/>
        </w:rPr>
      </w:pPr>
    </w:p>
    <w:p w:rsidR="00C6181E" w:rsidRDefault="009212A5" w:rsidP="00286ADD">
      <w:pPr>
        <w:tabs>
          <w:tab w:val="left" w:pos="720"/>
        </w:tabs>
        <w:ind w:left="720"/>
        <w:jc w:val="both"/>
        <w:rPr>
          <w:rFonts w:ascii="Century Gothic" w:hAnsi="Century Gothic" w:cs="Arial"/>
          <w:color w:val="0000FF"/>
        </w:rPr>
      </w:pPr>
      <w:r w:rsidRPr="009620D0">
        <w:rPr>
          <w:rFonts w:ascii="Century Gothic" w:hAnsi="Century Gothic" w:cs="Arial"/>
        </w:rPr>
        <w:t>Other discl</w:t>
      </w:r>
      <w:r w:rsidR="00D95EE2">
        <w:rPr>
          <w:rFonts w:ascii="Century Gothic" w:hAnsi="Century Gothic" w:cs="Arial"/>
        </w:rPr>
        <w:t>osure items pursuant to Appendix</w:t>
      </w:r>
      <w:r w:rsidRPr="009620D0">
        <w:rPr>
          <w:rFonts w:ascii="Century Gothic" w:hAnsi="Century Gothic" w:cs="Arial"/>
        </w:rPr>
        <w:t xml:space="preserve"> 9B Note 16 of the listing requirements of Bursa Malaysia Securities Berhad are not applicable</w:t>
      </w:r>
      <w:r w:rsidRPr="009212A5">
        <w:rPr>
          <w:rFonts w:ascii="Century Gothic" w:hAnsi="Century Gothic" w:cs="Arial"/>
          <w:color w:val="0000FF"/>
        </w:rPr>
        <w:t>.</w:t>
      </w:r>
    </w:p>
    <w:p w:rsidR="00355270" w:rsidRDefault="00355270" w:rsidP="00286ADD">
      <w:pPr>
        <w:tabs>
          <w:tab w:val="left" w:pos="720"/>
        </w:tabs>
        <w:ind w:left="720"/>
        <w:jc w:val="both"/>
        <w:rPr>
          <w:rFonts w:ascii="Century Gothic" w:hAnsi="Century Gothic" w:cs="Arial"/>
          <w:color w:val="0000FF"/>
        </w:rPr>
      </w:pPr>
    </w:p>
    <w:sectPr w:rsidR="00355270" w:rsidSect="000D3421">
      <w:headerReference w:type="first" r:id="rId19"/>
      <w:pgSz w:w="12240" w:h="15840" w:code="1"/>
      <w:pgMar w:top="864" w:right="1152" w:bottom="864" w:left="576" w:header="720" w:footer="397" w:gutter="288"/>
      <w:pgNumType w:start="5"/>
      <w:cols w:space="720"/>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F65A59" w15:done="0"/>
  <w15:commentEx w15:paraId="44F4ECF6" w15:done="0"/>
  <w15:commentEx w15:paraId="033371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253" w:rsidRDefault="00833253">
      <w:r>
        <w:separator/>
      </w:r>
    </w:p>
  </w:endnote>
  <w:endnote w:type="continuationSeparator" w:id="0">
    <w:p w:rsidR="00833253" w:rsidRDefault="0083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DCSansSerif">
    <w:charset w:val="00"/>
    <w:family w:val="auto"/>
    <w:pitch w:val="variable"/>
    <w:sig w:usb0="00000003" w:usb1="00000000" w:usb2="00000000" w:usb3="00000000" w:csb0="00000001" w:csb1="00000000"/>
  </w:font>
  <w:font w:name="MS Hei">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7109"/>
      <w:docPartObj>
        <w:docPartGallery w:val="Page Numbers (Bottom of Page)"/>
        <w:docPartUnique/>
      </w:docPartObj>
    </w:sdtPr>
    <w:sdtEndPr>
      <w:rPr>
        <w:rFonts w:ascii="Century Gothic" w:hAnsi="Century Gothic"/>
      </w:rPr>
    </w:sdtEndPr>
    <w:sdtContent>
      <w:sdt>
        <w:sdtPr>
          <w:rPr>
            <w:rFonts w:ascii="Century Gothic" w:hAnsi="Century Gothic"/>
          </w:rPr>
          <w:id w:val="17967110"/>
          <w:docPartObj>
            <w:docPartGallery w:val="Page Numbers (Top of Page)"/>
            <w:docPartUnique/>
          </w:docPartObj>
        </w:sdtPr>
        <w:sdtEndPr/>
        <w:sdtContent>
          <w:p w:rsidR="004946DC" w:rsidRPr="00B358DF" w:rsidRDefault="004946DC" w:rsidP="00337570">
            <w:pPr>
              <w:pStyle w:val="Footer"/>
              <w:jc w:val="center"/>
              <w:rPr>
                <w:rFonts w:ascii="Century Gothic" w:hAnsi="Century Gothic"/>
              </w:rPr>
            </w:pPr>
            <w:r w:rsidRPr="00B358DF">
              <w:rPr>
                <w:rFonts w:ascii="Century Gothic" w:hAnsi="Century Gothic"/>
                <w:sz w:val="18"/>
              </w:rPr>
              <w:t xml:space="preserve">Page </w:t>
            </w:r>
            <w:r w:rsidR="001E0164" w:rsidRPr="00B358DF">
              <w:rPr>
                <w:rFonts w:ascii="Century Gothic" w:hAnsi="Century Gothic"/>
                <w:b/>
                <w:sz w:val="18"/>
              </w:rPr>
              <w:fldChar w:fldCharType="begin"/>
            </w:r>
            <w:r w:rsidRPr="00B358DF">
              <w:rPr>
                <w:rFonts w:ascii="Century Gothic" w:hAnsi="Century Gothic"/>
                <w:b/>
                <w:sz w:val="18"/>
              </w:rPr>
              <w:instrText xml:space="preserve"> PAGE </w:instrText>
            </w:r>
            <w:r w:rsidR="001E0164" w:rsidRPr="00B358DF">
              <w:rPr>
                <w:rFonts w:ascii="Century Gothic" w:hAnsi="Century Gothic"/>
                <w:b/>
                <w:sz w:val="18"/>
              </w:rPr>
              <w:fldChar w:fldCharType="separate"/>
            </w:r>
            <w:r w:rsidR="00385A95">
              <w:rPr>
                <w:rFonts w:ascii="Century Gothic" w:hAnsi="Century Gothic"/>
                <w:b/>
                <w:noProof/>
                <w:sz w:val="18"/>
              </w:rPr>
              <w:t>1</w:t>
            </w:r>
            <w:r w:rsidR="001E0164" w:rsidRPr="00B358DF">
              <w:rPr>
                <w:rFonts w:ascii="Century Gothic" w:hAnsi="Century Gothic"/>
                <w:b/>
                <w:sz w:val="18"/>
              </w:rPr>
              <w:fldChar w:fldCharType="end"/>
            </w:r>
            <w:r w:rsidRPr="00B358DF">
              <w:rPr>
                <w:rFonts w:ascii="Century Gothic" w:hAnsi="Century Gothic"/>
                <w:sz w:val="18"/>
              </w:rPr>
              <w:t xml:space="preserve"> of </w:t>
            </w:r>
            <w:r w:rsidR="001E0164" w:rsidRPr="00B358DF">
              <w:rPr>
                <w:rFonts w:ascii="Century Gothic" w:hAnsi="Century Gothic"/>
                <w:b/>
                <w:sz w:val="18"/>
              </w:rPr>
              <w:fldChar w:fldCharType="begin"/>
            </w:r>
            <w:r w:rsidRPr="00B358DF">
              <w:rPr>
                <w:rFonts w:ascii="Century Gothic" w:hAnsi="Century Gothic"/>
                <w:b/>
                <w:sz w:val="18"/>
              </w:rPr>
              <w:instrText xml:space="preserve"> NUMPAGES  </w:instrText>
            </w:r>
            <w:r w:rsidR="001E0164" w:rsidRPr="00B358DF">
              <w:rPr>
                <w:rFonts w:ascii="Century Gothic" w:hAnsi="Century Gothic"/>
                <w:b/>
                <w:sz w:val="18"/>
              </w:rPr>
              <w:fldChar w:fldCharType="separate"/>
            </w:r>
            <w:r w:rsidR="00385A95">
              <w:rPr>
                <w:rFonts w:ascii="Century Gothic" w:hAnsi="Century Gothic"/>
                <w:b/>
                <w:noProof/>
                <w:sz w:val="18"/>
              </w:rPr>
              <w:t>16</w:t>
            </w:r>
            <w:r w:rsidR="001E0164" w:rsidRPr="00B358DF">
              <w:rPr>
                <w:rFonts w:ascii="Century Gothic" w:hAnsi="Century Gothic"/>
                <w:b/>
                <w:sz w:val="18"/>
              </w:rPr>
              <w:fldChar w:fldCharType="end"/>
            </w:r>
          </w:p>
        </w:sdtContent>
      </w:sdt>
    </w:sdtContent>
  </w:sdt>
  <w:p w:rsidR="004946DC" w:rsidRDefault="004946DC" w:rsidP="00AF24B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rPr>
      <w:id w:val="17967111"/>
      <w:docPartObj>
        <w:docPartGallery w:val="Page Numbers (Bottom of Page)"/>
        <w:docPartUnique/>
      </w:docPartObj>
    </w:sdtPr>
    <w:sdtEndPr/>
    <w:sdtContent>
      <w:sdt>
        <w:sdtPr>
          <w:rPr>
            <w:rFonts w:ascii="Century Gothic" w:hAnsi="Century Gothic"/>
          </w:rPr>
          <w:id w:val="17967112"/>
          <w:docPartObj>
            <w:docPartGallery w:val="Page Numbers (Top of Page)"/>
            <w:docPartUnique/>
          </w:docPartObj>
        </w:sdtPr>
        <w:sdtEndPr/>
        <w:sdtContent>
          <w:p w:rsidR="004946DC" w:rsidRPr="00983006" w:rsidRDefault="004946DC" w:rsidP="00337570">
            <w:pPr>
              <w:pStyle w:val="Footer"/>
              <w:jc w:val="center"/>
              <w:rPr>
                <w:rFonts w:ascii="Century Gothic" w:hAnsi="Century Gothic"/>
              </w:rPr>
            </w:pPr>
            <w:r w:rsidRPr="00B358DF">
              <w:rPr>
                <w:rFonts w:ascii="Century Gothic" w:hAnsi="Century Gothic"/>
                <w:sz w:val="18"/>
              </w:rPr>
              <w:t xml:space="preserve">Page </w:t>
            </w:r>
            <w:r w:rsidR="001E0164" w:rsidRPr="00B358DF">
              <w:rPr>
                <w:rFonts w:ascii="Century Gothic" w:hAnsi="Century Gothic"/>
                <w:b/>
                <w:sz w:val="22"/>
                <w:szCs w:val="24"/>
              </w:rPr>
              <w:fldChar w:fldCharType="begin"/>
            </w:r>
            <w:r w:rsidRPr="00B358DF">
              <w:rPr>
                <w:rFonts w:ascii="Century Gothic" w:hAnsi="Century Gothic"/>
                <w:b/>
                <w:sz w:val="18"/>
              </w:rPr>
              <w:instrText xml:space="preserve"> PAGE </w:instrText>
            </w:r>
            <w:r w:rsidR="001E0164" w:rsidRPr="00B358DF">
              <w:rPr>
                <w:rFonts w:ascii="Century Gothic" w:hAnsi="Century Gothic"/>
                <w:b/>
                <w:sz w:val="22"/>
                <w:szCs w:val="24"/>
              </w:rPr>
              <w:fldChar w:fldCharType="separate"/>
            </w:r>
            <w:r w:rsidR="00385A95">
              <w:rPr>
                <w:rFonts w:ascii="Century Gothic" w:hAnsi="Century Gothic"/>
                <w:b/>
                <w:noProof/>
                <w:sz w:val="18"/>
              </w:rPr>
              <w:t>5</w:t>
            </w:r>
            <w:r w:rsidR="001E0164" w:rsidRPr="00B358DF">
              <w:rPr>
                <w:rFonts w:ascii="Century Gothic" w:hAnsi="Century Gothic"/>
                <w:b/>
                <w:sz w:val="22"/>
                <w:szCs w:val="24"/>
              </w:rPr>
              <w:fldChar w:fldCharType="end"/>
            </w:r>
            <w:r w:rsidRPr="00B358DF">
              <w:rPr>
                <w:rFonts w:ascii="Century Gothic" w:hAnsi="Century Gothic"/>
                <w:sz w:val="18"/>
              </w:rPr>
              <w:t xml:space="preserve"> of </w:t>
            </w:r>
            <w:r w:rsidR="001E0164" w:rsidRPr="00B358DF">
              <w:rPr>
                <w:rFonts w:ascii="Century Gothic" w:hAnsi="Century Gothic"/>
                <w:b/>
                <w:sz w:val="22"/>
                <w:szCs w:val="24"/>
              </w:rPr>
              <w:fldChar w:fldCharType="begin"/>
            </w:r>
            <w:r w:rsidRPr="00B358DF">
              <w:rPr>
                <w:rFonts w:ascii="Century Gothic" w:hAnsi="Century Gothic"/>
                <w:b/>
                <w:sz w:val="18"/>
              </w:rPr>
              <w:instrText xml:space="preserve"> NUMPAGES  </w:instrText>
            </w:r>
            <w:r w:rsidR="001E0164" w:rsidRPr="00B358DF">
              <w:rPr>
                <w:rFonts w:ascii="Century Gothic" w:hAnsi="Century Gothic"/>
                <w:b/>
                <w:sz w:val="22"/>
                <w:szCs w:val="24"/>
              </w:rPr>
              <w:fldChar w:fldCharType="separate"/>
            </w:r>
            <w:r w:rsidR="00385A95">
              <w:rPr>
                <w:rFonts w:ascii="Century Gothic" w:hAnsi="Century Gothic"/>
                <w:b/>
                <w:noProof/>
                <w:sz w:val="18"/>
              </w:rPr>
              <w:t>5</w:t>
            </w:r>
            <w:r w:rsidR="001E0164" w:rsidRPr="00B358DF">
              <w:rPr>
                <w:rFonts w:ascii="Century Gothic" w:hAnsi="Century Gothic"/>
                <w:b/>
                <w:sz w:val="22"/>
                <w:szCs w:val="24"/>
              </w:rPr>
              <w:fldChar w:fldCharType="end"/>
            </w:r>
          </w:p>
        </w:sdtContent>
      </w:sdt>
    </w:sdtContent>
  </w:sdt>
  <w:p w:rsidR="004946DC" w:rsidRDefault="00494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253" w:rsidRDefault="00833253">
      <w:r>
        <w:separator/>
      </w:r>
    </w:p>
  </w:footnote>
  <w:footnote w:type="continuationSeparator" w:id="0">
    <w:p w:rsidR="00833253" w:rsidRDefault="00833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DC" w:rsidRDefault="004946DC" w:rsidP="004462F3">
    <w:pPr>
      <w:pStyle w:val="Header"/>
      <w:tabs>
        <w:tab w:val="clear" w:pos="4320"/>
        <w:tab w:val="clear" w:pos="8640"/>
        <w:tab w:val="left" w:pos="144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DC" w:rsidRDefault="004946DC">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DC" w:rsidRDefault="004946DC">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4"/>
    <w:multiLevelType w:val="multilevel"/>
    <w:tmpl w:val="00000000"/>
    <w:lvl w:ilvl="0">
      <w:start w:val="1"/>
      <w:numFmt w:val="decimal"/>
      <w:pStyle w:val="Level1"/>
      <w:lvlText w:val="%1."/>
      <w:lvlJc w:val="left"/>
      <w:pPr>
        <w:tabs>
          <w:tab w:val="num" w:pos="720"/>
        </w:tabs>
        <w:ind w:left="3600" w:hanging="3600"/>
      </w:pPr>
      <w:rPr>
        <w:rFonts w:ascii="Univers" w:hAnsi="Univer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pStyle w:val="Level6"/>
      <w:lvlText w:val="%6."/>
      <w:lvlJc w:val="left"/>
      <w:pPr>
        <w:tabs>
          <w:tab w:val="num" w:pos="4320"/>
        </w:tabs>
        <w:ind w:left="4320" w:hanging="720"/>
      </w:pPr>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AF33C09"/>
    <w:multiLevelType w:val="hybridMultilevel"/>
    <w:tmpl w:val="08B670D2"/>
    <w:lvl w:ilvl="0" w:tplc="C90AF8BC">
      <w:start w:val="1"/>
      <w:numFmt w:val="lowerLetter"/>
      <w:lvlText w:val="%1)"/>
      <w:lvlJc w:val="left"/>
      <w:pPr>
        <w:ind w:left="1069" w:hanging="360"/>
      </w:pPr>
      <w:rPr>
        <w:rFonts w:hint="default"/>
        <w:b w:val="0"/>
        <w:color w:val="0000FF"/>
        <w:sz w:val="20"/>
        <w:szCs w:val="20"/>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2">
    <w:nsid w:val="122A0E50"/>
    <w:multiLevelType w:val="hybridMultilevel"/>
    <w:tmpl w:val="EA3818D8"/>
    <w:lvl w:ilvl="0" w:tplc="86DE8132">
      <w:start w:val="7"/>
      <w:numFmt w:val="lowerLetter"/>
      <w:lvlText w:val="(%1)"/>
      <w:lvlJc w:val="left"/>
      <w:pPr>
        <w:ind w:left="1800" w:hanging="360"/>
      </w:pPr>
      <w:rPr>
        <w:rFonts w:hint="default"/>
        <w:b w:val="0"/>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
    <w:nsid w:val="19B14E27"/>
    <w:multiLevelType w:val="hybridMultilevel"/>
    <w:tmpl w:val="8E666E00"/>
    <w:lvl w:ilvl="0" w:tplc="7CC043AE">
      <w:start w:val="1"/>
      <w:numFmt w:val="lowerRoman"/>
      <w:lvlText w:val="(%1)"/>
      <w:lvlJc w:val="left"/>
      <w:pPr>
        <w:ind w:left="1440" w:hanging="720"/>
      </w:pPr>
      <w:rPr>
        <w:rFonts w:hint="default"/>
        <w:b w:val="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nsid w:val="31624348"/>
    <w:multiLevelType w:val="hybridMultilevel"/>
    <w:tmpl w:val="5106DFD4"/>
    <w:lvl w:ilvl="0" w:tplc="44090017">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5">
    <w:nsid w:val="32397A53"/>
    <w:multiLevelType w:val="hybridMultilevel"/>
    <w:tmpl w:val="CEEE3780"/>
    <w:lvl w:ilvl="0" w:tplc="B82CECD8">
      <w:start w:val="3"/>
      <w:numFmt w:val="upp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
    <w:nsid w:val="32D96784"/>
    <w:multiLevelType w:val="hybridMultilevel"/>
    <w:tmpl w:val="F758A272"/>
    <w:lvl w:ilvl="0" w:tplc="44090017">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7">
    <w:nsid w:val="35566229"/>
    <w:multiLevelType w:val="hybridMultilevel"/>
    <w:tmpl w:val="BEEE2414"/>
    <w:lvl w:ilvl="0" w:tplc="73608708">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8">
    <w:nsid w:val="387B137E"/>
    <w:multiLevelType w:val="hybridMultilevel"/>
    <w:tmpl w:val="F758A272"/>
    <w:lvl w:ilvl="0" w:tplc="44090017">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9">
    <w:nsid w:val="3E5928D8"/>
    <w:multiLevelType w:val="hybridMultilevel"/>
    <w:tmpl w:val="353A5F64"/>
    <w:lvl w:ilvl="0" w:tplc="44090017">
      <w:start w:val="3"/>
      <w:numFmt w:val="lowerLetter"/>
      <w:lvlText w:val="%1)"/>
      <w:lvlJc w:val="left"/>
      <w:pPr>
        <w:ind w:left="720" w:hanging="360"/>
      </w:p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10">
    <w:nsid w:val="45F33FE2"/>
    <w:multiLevelType w:val="hybridMultilevel"/>
    <w:tmpl w:val="A2807E16"/>
    <w:lvl w:ilvl="0" w:tplc="B8505510">
      <w:start w:val="31"/>
      <w:numFmt w:val="bullet"/>
      <w:lvlText w:val="-"/>
      <w:lvlJc w:val="left"/>
      <w:pPr>
        <w:ind w:left="405" w:hanging="360"/>
      </w:pPr>
      <w:rPr>
        <w:rFonts w:ascii="Century Gothic" w:eastAsia="Times New Roman" w:hAnsi="Century Gothic"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4C5520A4"/>
    <w:multiLevelType w:val="hybridMultilevel"/>
    <w:tmpl w:val="9C5E2B28"/>
    <w:lvl w:ilvl="0" w:tplc="34F02854">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2">
    <w:nsid w:val="5CA853CB"/>
    <w:multiLevelType w:val="hybridMultilevel"/>
    <w:tmpl w:val="8C2E49FE"/>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62633608"/>
    <w:multiLevelType w:val="hybridMultilevel"/>
    <w:tmpl w:val="B65EE5E6"/>
    <w:lvl w:ilvl="0" w:tplc="12941D0C">
      <w:start w:val="1"/>
      <w:numFmt w:val="decimal"/>
      <w:lvlText w:val="%1)"/>
      <w:lvlJc w:val="left"/>
      <w:pPr>
        <w:ind w:left="1778" w:hanging="360"/>
      </w:pPr>
      <w:rPr>
        <w:rFonts w:hint="default"/>
      </w:rPr>
    </w:lvl>
    <w:lvl w:ilvl="1" w:tplc="44090019" w:tentative="1">
      <w:start w:val="1"/>
      <w:numFmt w:val="lowerLetter"/>
      <w:lvlText w:val="%2."/>
      <w:lvlJc w:val="left"/>
      <w:pPr>
        <w:ind w:left="2498" w:hanging="360"/>
      </w:pPr>
    </w:lvl>
    <w:lvl w:ilvl="2" w:tplc="4409001B" w:tentative="1">
      <w:start w:val="1"/>
      <w:numFmt w:val="lowerRoman"/>
      <w:lvlText w:val="%3."/>
      <w:lvlJc w:val="right"/>
      <w:pPr>
        <w:ind w:left="3218" w:hanging="180"/>
      </w:pPr>
    </w:lvl>
    <w:lvl w:ilvl="3" w:tplc="4409000F" w:tentative="1">
      <w:start w:val="1"/>
      <w:numFmt w:val="decimal"/>
      <w:lvlText w:val="%4."/>
      <w:lvlJc w:val="left"/>
      <w:pPr>
        <w:ind w:left="3938" w:hanging="360"/>
      </w:pPr>
    </w:lvl>
    <w:lvl w:ilvl="4" w:tplc="44090019" w:tentative="1">
      <w:start w:val="1"/>
      <w:numFmt w:val="lowerLetter"/>
      <w:lvlText w:val="%5."/>
      <w:lvlJc w:val="left"/>
      <w:pPr>
        <w:ind w:left="4658" w:hanging="360"/>
      </w:pPr>
    </w:lvl>
    <w:lvl w:ilvl="5" w:tplc="4409001B" w:tentative="1">
      <w:start w:val="1"/>
      <w:numFmt w:val="lowerRoman"/>
      <w:lvlText w:val="%6."/>
      <w:lvlJc w:val="right"/>
      <w:pPr>
        <w:ind w:left="5378" w:hanging="180"/>
      </w:pPr>
    </w:lvl>
    <w:lvl w:ilvl="6" w:tplc="4409000F" w:tentative="1">
      <w:start w:val="1"/>
      <w:numFmt w:val="decimal"/>
      <w:lvlText w:val="%7."/>
      <w:lvlJc w:val="left"/>
      <w:pPr>
        <w:ind w:left="6098" w:hanging="360"/>
      </w:pPr>
    </w:lvl>
    <w:lvl w:ilvl="7" w:tplc="44090019" w:tentative="1">
      <w:start w:val="1"/>
      <w:numFmt w:val="lowerLetter"/>
      <w:lvlText w:val="%8."/>
      <w:lvlJc w:val="left"/>
      <w:pPr>
        <w:ind w:left="6818" w:hanging="360"/>
      </w:pPr>
    </w:lvl>
    <w:lvl w:ilvl="8" w:tplc="4409001B" w:tentative="1">
      <w:start w:val="1"/>
      <w:numFmt w:val="lowerRoman"/>
      <w:lvlText w:val="%9."/>
      <w:lvlJc w:val="right"/>
      <w:pPr>
        <w:ind w:left="7538" w:hanging="180"/>
      </w:pPr>
    </w:lvl>
  </w:abstractNum>
  <w:abstractNum w:abstractNumId="14">
    <w:nsid w:val="670745F5"/>
    <w:multiLevelType w:val="hybridMultilevel"/>
    <w:tmpl w:val="C2109600"/>
    <w:lvl w:ilvl="0" w:tplc="7696C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422FD8"/>
    <w:multiLevelType w:val="hybridMultilevel"/>
    <w:tmpl w:val="010206BE"/>
    <w:lvl w:ilvl="0" w:tplc="619E4246">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10"/>
  </w:num>
  <w:num w:numId="4">
    <w:abstractNumId w:val="14"/>
  </w:num>
  <w:num w:numId="5">
    <w:abstractNumId w:val="4"/>
  </w:num>
  <w:num w:numId="6">
    <w:abstractNumId w:val="15"/>
  </w:num>
  <w:num w:numId="7">
    <w:abstractNumId w:val="8"/>
  </w:num>
  <w:num w:numId="8">
    <w:abstractNumId w:val="11"/>
  </w:num>
  <w:num w:numId="9">
    <w:abstractNumId w:val="6"/>
  </w:num>
  <w:num w:numId="10">
    <w:abstractNumId w:val="13"/>
  </w:num>
  <w:num w:numId="11">
    <w:abstractNumId w:val="5"/>
  </w:num>
  <w:num w:numId="1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7"/>
  </w:num>
  <w:num w:numId="16">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nda">
    <w15:presenceInfo w15:providerId="None" w15:userId="Ama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01" fillcolor="white">
      <v:fill color="white"/>
      <o:colormenu v:ext="edit" strokecolor="red"/>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74"/>
    <w:rsid w:val="00000F2B"/>
    <w:rsid w:val="0000180F"/>
    <w:rsid w:val="00001AAB"/>
    <w:rsid w:val="00001E7B"/>
    <w:rsid w:val="000035B4"/>
    <w:rsid w:val="000036C1"/>
    <w:rsid w:val="000044AD"/>
    <w:rsid w:val="00004E7A"/>
    <w:rsid w:val="000059AD"/>
    <w:rsid w:val="00007E42"/>
    <w:rsid w:val="000109D8"/>
    <w:rsid w:val="00010BE0"/>
    <w:rsid w:val="00010CCA"/>
    <w:rsid w:val="000119E4"/>
    <w:rsid w:val="00012522"/>
    <w:rsid w:val="00012749"/>
    <w:rsid w:val="00012B28"/>
    <w:rsid w:val="000138A2"/>
    <w:rsid w:val="000142B2"/>
    <w:rsid w:val="0001627D"/>
    <w:rsid w:val="00017EC9"/>
    <w:rsid w:val="00021152"/>
    <w:rsid w:val="000215C4"/>
    <w:rsid w:val="00021DEA"/>
    <w:rsid w:val="0002446C"/>
    <w:rsid w:val="00024C84"/>
    <w:rsid w:val="00025066"/>
    <w:rsid w:val="000255B8"/>
    <w:rsid w:val="00025D07"/>
    <w:rsid w:val="00026787"/>
    <w:rsid w:val="00027258"/>
    <w:rsid w:val="000276C4"/>
    <w:rsid w:val="00030C9C"/>
    <w:rsid w:val="0003122E"/>
    <w:rsid w:val="000332AB"/>
    <w:rsid w:val="00033A56"/>
    <w:rsid w:val="00034035"/>
    <w:rsid w:val="00035073"/>
    <w:rsid w:val="00035717"/>
    <w:rsid w:val="00035D3A"/>
    <w:rsid w:val="00036122"/>
    <w:rsid w:val="00037073"/>
    <w:rsid w:val="0003730E"/>
    <w:rsid w:val="00037ADB"/>
    <w:rsid w:val="00040257"/>
    <w:rsid w:val="000411BE"/>
    <w:rsid w:val="00041824"/>
    <w:rsid w:val="00041B24"/>
    <w:rsid w:val="0004308F"/>
    <w:rsid w:val="00043BDA"/>
    <w:rsid w:val="00043C95"/>
    <w:rsid w:val="00043F8B"/>
    <w:rsid w:val="00044BF6"/>
    <w:rsid w:val="00045059"/>
    <w:rsid w:val="00051F35"/>
    <w:rsid w:val="0005501E"/>
    <w:rsid w:val="00055748"/>
    <w:rsid w:val="00056BFA"/>
    <w:rsid w:val="00060082"/>
    <w:rsid w:val="000604F5"/>
    <w:rsid w:val="000610A8"/>
    <w:rsid w:val="0006130E"/>
    <w:rsid w:val="000624EC"/>
    <w:rsid w:val="00062D90"/>
    <w:rsid w:val="0006534E"/>
    <w:rsid w:val="000653E9"/>
    <w:rsid w:val="00066F7E"/>
    <w:rsid w:val="00070DDA"/>
    <w:rsid w:val="00070E32"/>
    <w:rsid w:val="00070E93"/>
    <w:rsid w:val="000728C3"/>
    <w:rsid w:val="00072A61"/>
    <w:rsid w:val="000740AD"/>
    <w:rsid w:val="000751EB"/>
    <w:rsid w:val="000753C4"/>
    <w:rsid w:val="00076BCA"/>
    <w:rsid w:val="00080335"/>
    <w:rsid w:val="00082C15"/>
    <w:rsid w:val="00082C47"/>
    <w:rsid w:val="00085D92"/>
    <w:rsid w:val="000860B6"/>
    <w:rsid w:val="000861DA"/>
    <w:rsid w:val="00086F46"/>
    <w:rsid w:val="00090CB0"/>
    <w:rsid w:val="00090D24"/>
    <w:rsid w:val="000916B3"/>
    <w:rsid w:val="0009191B"/>
    <w:rsid w:val="00092AB3"/>
    <w:rsid w:val="000949AC"/>
    <w:rsid w:val="000952F8"/>
    <w:rsid w:val="000A105C"/>
    <w:rsid w:val="000A110F"/>
    <w:rsid w:val="000A1E5B"/>
    <w:rsid w:val="000A26F7"/>
    <w:rsid w:val="000A36BB"/>
    <w:rsid w:val="000A3765"/>
    <w:rsid w:val="000A3EA4"/>
    <w:rsid w:val="000A63EB"/>
    <w:rsid w:val="000A6BFB"/>
    <w:rsid w:val="000B1EA2"/>
    <w:rsid w:val="000B21A8"/>
    <w:rsid w:val="000B3EC0"/>
    <w:rsid w:val="000B4081"/>
    <w:rsid w:val="000B4CF6"/>
    <w:rsid w:val="000B53BB"/>
    <w:rsid w:val="000B664B"/>
    <w:rsid w:val="000B733C"/>
    <w:rsid w:val="000C3230"/>
    <w:rsid w:val="000C444C"/>
    <w:rsid w:val="000C67BA"/>
    <w:rsid w:val="000C7842"/>
    <w:rsid w:val="000C7B75"/>
    <w:rsid w:val="000D10FD"/>
    <w:rsid w:val="000D13B8"/>
    <w:rsid w:val="000D1535"/>
    <w:rsid w:val="000D17D0"/>
    <w:rsid w:val="000D1979"/>
    <w:rsid w:val="000D230A"/>
    <w:rsid w:val="000D3421"/>
    <w:rsid w:val="000D516B"/>
    <w:rsid w:val="000D5A9C"/>
    <w:rsid w:val="000D6A6E"/>
    <w:rsid w:val="000D6B1F"/>
    <w:rsid w:val="000D6C88"/>
    <w:rsid w:val="000E01D9"/>
    <w:rsid w:val="000E099E"/>
    <w:rsid w:val="000E114E"/>
    <w:rsid w:val="000E1E54"/>
    <w:rsid w:val="000E299A"/>
    <w:rsid w:val="000E4766"/>
    <w:rsid w:val="000E5580"/>
    <w:rsid w:val="000E57C5"/>
    <w:rsid w:val="000F0E02"/>
    <w:rsid w:val="000F1EB8"/>
    <w:rsid w:val="000F2254"/>
    <w:rsid w:val="000F24FA"/>
    <w:rsid w:val="000F2D94"/>
    <w:rsid w:val="000F3E92"/>
    <w:rsid w:val="000F4591"/>
    <w:rsid w:val="000F479D"/>
    <w:rsid w:val="000F48C7"/>
    <w:rsid w:val="000F5851"/>
    <w:rsid w:val="000F5932"/>
    <w:rsid w:val="00100EE5"/>
    <w:rsid w:val="001031F5"/>
    <w:rsid w:val="001044A5"/>
    <w:rsid w:val="00104802"/>
    <w:rsid w:val="001056C0"/>
    <w:rsid w:val="001058EE"/>
    <w:rsid w:val="00106D06"/>
    <w:rsid w:val="00106D13"/>
    <w:rsid w:val="00110139"/>
    <w:rsid w:val="001112AB"/>
    <w:rsid w:val="00113095"/>
    <w:rsid w:val="0011361D"/>
    <w:rsid w:val="0011399F"/>
    <w:rsid w:val="00113C7F"/>
    <w:rsid w:val="001149B6"/>
    <w:rsid w:val="0011517D"/>
    <w:rsid w:val="00116953"/>
    <w:rsid w:val="001205DD"/>
    <w:rsid w:val="00122D86"/>
    <w:rsid w:val="001237CB"/>
    <w:rsid w:val="00124E10"/>
    <w:rsid w:val="00125528"/>
    <w:rsid w:val="001324CC"/>
    <w:rsid w:val="0013299A"/>
    <w:rsid w:val="0013334E"/>
    <w:rsid w:val="001344B8"/>
    <w:rsid w:val="001347D7"/>
    <w:rsid w:val="00134976"/>
    <w:rsid w:val="0013520B"/>
    <w:rsid w:val="00136723"/>
    <w:rsid w:val="00136A5C"/>
    <w:rsid w:val="0013796A"/>
    <w:rsid w:val="00137A61"/>
    <w:rsid w:val="00137AB3"/>
    <w:rsid w:val="00137F99"/>
    <w:rsid w:val="001401D2"/>
    <w:rsid w:val="00140B70"/>
    <w:rsid w:val="00140E97"/>
    <w:rsid w:val="00141822"/>
    <w:rsid w:val="00141FD6"/>
    <w:rsid w:val="001428B1"/>
    <w:rsid w:val="00142DC8"/>
    <w:rsid w:val="001436D4"/>
    <w:rsid w:val="00143773"/>
    <w:rsid w:val="00143D4A"/>
    <w:rsid w:val="00143F60"/>
    <w:rsid w:val="001441A8"/>
    <w:rsid w:val="00144892"/>
    <w:rsid w:val="001454E2"/>
    <w:rsid w:val="00146C4D"/>
    <w:rsid w:val="00147F47"/>
    <w:rsid w:val="001502FE"/>
    <w:rsid w:val="001506A0"/>
    <w:rsid w:val="0015223F"/>
    <w:rsid w:val="001538AF"/>
    <w:rsid w:val="00153DC6"/>
    <w:rsid w:val="00153F7E"/>
    <w:rsid w:val="001559B9"/>
    <w:rsid w:val="00157382"/>
    <w:rsid w:val="00160AB9"/>
    <w:rsid w:val="001615DC"/>
    <w:rsid w:val="00162459"/>
    <w:rsid w:val="00165036"/>
    <w:rsid w:val="001653F3"/>
    <w:rsid w:val="00165AC6"/>
    <w:rsid w:val="00166A19"/>
    <w:rsid w:val="00166C91"/>
    <w:rsid w:val="00167C85"/>
    <w:rsid w:val="00170927"/>
    <w:rsid w:val="00170B9B"/>
    <w:rsid w:val="00171567"/>
    <w:rsid w:val="00172581"/>
    <w:rsid w:val="001726B6"/>
    <w:rsid w:val="00173E63"/>
    <w:rsid w:val="00175E20"/>
    <w:rsid w:val="00175F7A"/>
    <w:rsid w:val="00176153"/>
    <w:rsid w:val="0017630E"/>
    <w:rsid w:val="0017719A"/>
    <w:rsid w:val="00177B55"/>
    <w:rsid w:val="001802AA"/>
    <w:rsid w:val="00181D5D"/>
    <w:rsid w:val="0018209E"/>
    <w:rsid w:val="00182AA5"/>
    <w:rsid w:val="00183305"/>
    <w:rsid w:val="00183EA8"/>
    <w:rsid w:val="00183F6B"/>
    <w:rsid w:val="00184C7A"/>
    <w:rsid w:val="00185AFB"/>
    <w:rsid w:val="00186726"/>
    <w:rsid w:val="001910C7"/>
    <w:rsid w:val="00193495"/>
    <w:rsid w:val="00194470"/>
    <w:rsid w:val="0019479B"/>
    <w:rsid w:val="00194D54"/>
    <w:rsid w:val="00194EE3"/>
    <w:rsid w:val="00195D1F"/>
    <w:rsid w:val="001968F3"/>
    <w:rsid w:val="001969FC"/>
    <w:rsid w:val="00197E43"/>
    <w:rsid w:val="001A00F4"/>
    <w:rsid w:val="001A0517"/>
    <w:rsid w:val="001A2342"/>
    <w:rsid w:val="001A2428"/>
    <w:rsid w:val="001A4FB5"/>
    <w:rsid w:val="001A54D8"/>
    <w:rsid w:val="001A5C88"/>
    <w:rsid w:val="001A5EEE"/>
    <w:rsid w:val="001A684D"/>
    <w:rsid w:val="001A69F4"/>
    <w:rsid w:val="001A6EAE"/>
    <w:rsid w:val="001A7300"/>
    <w:rsid w:val="001B01CA"/>
    <w:rsid w:val="001B0799"/>
    <w:rsid w:val="001B0A5D"/>
    <w:rsid w:val="001B24FA"/>
    <w:rsid w:val="001B288F"/>
    <w:rsid w:val="001B40FF"/>
    <w:rsid w:val="001B4580"/>
    <w:rsid w:val="001B4D3A"/>
    <w:rsid w:val="001B55F3"/>
    <w:rsid w:val="001B6954"/>
    <w:rsid w:val="001C138B"/>
    <w:rsid w:val="001C1CA2"/>
    <w:rsid w:val="001C2EC6"/>
    <w:rsid w:val="001C36C7"/>
    <w:rsid w:val="001C3D46"/>
    <w:rsid w:val="001C499B"/>
    <w:rsid w:val="001C5491"/>
    <w:rsid w:val="001C5C33"/>
    <w:rsid w:val="001C6573"/>
    <w:rsid w:val="001C6BA9"/>
    <w:rsid w:val="001C7883"/>
    <w:rsid w:val="001D0F80"/>
    <w:rsid w:val="001D1B6D"/>
    <w:rsid w:val="001D2292"/>
    <w:rsid w:val="001D35DA"/>
    <w:rsid w:val="001D3725"/>
    <w:rsid w:val="001D3815"/>
    <w:rsid w:val="001D3CD1"/>
    <w:rsid w:val="001D4735"/>
    <w:rsid w:val="001D4938"/>
    <w:rsid w:val="001D4ADD"/>
    <w:rsid w:val="001D6B81"/>
    <w:rsid w:val="001D6EF0"/>
    <w:rsid w:val="001E0164"/>
    <w:rsid w:val="001E07D6"/>
    <w:rsid w:val="001E10A4"/>
    <w:rsid w:val="001E2382"/>
    <w:rsid w:val="001E3987"/>
    <w:rsid w:val="001E41C8"/>
    <w:rsid w:val="001E4586"/>
    <w:rsid w:val="001E46DE"/>
    <w:rsid w:val="001E60EB"/>
    <w:rsid w:val="001E68BE"/>
    <w:rsid w:val="001E6908"/>
    <w:rsid w:val="001E7122"/>
    <w:rsid w:val="001E7DDA"/>
    <w:rsid w:val="001E7EA3"/>
    <w:rsid w:val="001F06D8"/>
    <w:rsid w:val="001F0D2C"/>
    <w:rsid w:val="001F0D6B"/>
    <w:rsid w:val="001F19DE"/>
    <w:rsid w:val="001F28F7"/>
    <w:rsid w:val="001F5D03"/>
    <w:rsid w:val="001F7974"/>
    <w:rsid w:val="00202118"/>
    <w:rsid w:val="00203FA8"/>
    <w:rsid w:val="002046F7"/>
    <w:rsid w:val="00204884"/>
    <w:rsid w:val="00204997"/>
    <w:rsid w:val="002053E8"/>
    <w:rsid w:val="00205DC9"/>
    <w:rsid w:val="002063BE"/>
    <w:rsid w:val="00206AD0"/>
    <w:rsid w:val="002073E4"/>
    <w:rsid w:val="00207A98"/>
    <w:rsid w:val="00212928"/>
    <w:rsid w:val="00212EF5"/>
    <w:rsid w:val="00212F75"/>
    <w:rsid w:val="0021315E"/>
    <w:rsid w:val="00214410"/>
    <w:rsid w:val="00214424"/>
    <w:rsid w:val="00215C2F"/>
    <w:rsid w:val="00220347"/>
    <w:rsid w:val="00220B90"/>
    <w:rsid w:val="0022266F"/>
    <w:rsid w:val="002236AC"/>
    <w:rsid w:val="0022481A"/>
    <w:rsid w:val="00224E90"/>
    <w:rsid w:val="00225568"/>
    <w:rsid w:val="00225652"/>
    <w:rsid w:val="0022597F"/>
    <w:rsid w:val="002262FC"/>
    <w:rsid w:val="00227506"/>
    <w:rsid w:val="00227CEC"/>
    <w:rsid w:val="00227F80"/>
    <w:rsid w:val="0023144F"/>
    <w:rsid w:val="00231590"/>
    <w:rsid w:val="0023169A"/>
    <w:rsid w:val="00231964"/>
    <w:rsid w:val="00231EF8"/>
    <w:rsid w:val="0023247A"/>
    <w:rsid w:val="00232857"/>
    <w:rsid w:val="00234E47"/>
    <w:rsid w:val="0023540C"/>
    <w:rsid w:val="00235B04"/>
    <w:rsid w:val="00235D63"/>
    <w:rsid w:val="00236213"/>
    <w:rsid w:val="00236237"/>
    <w:rsid w:val="00237659"/>
    <w:rsid w:val="0023793A"/>
    <w:rsid w:val="002379C7"/>
    <w:rsid w:val="00237B74"/>
    <w:rsid w:val="00241C70"/>
    <w:rsid w:val="00241E84"/>
    <w:rsid w:val="002422ED"/>
    <w:rsid w:val="00242431"/>
    <w:rsid w:val="00242A2F"/>
    <w:rsid w:val="00242D38"/>
    <w:rsid w:val="002435ED"/>
    <w:rsid w:val="00243670"/>
    <w:rsid w:val="00243A01"/>
    <w:rsid w:val="002440BE"/>
    <w:rsid w:val="0024416F"/>
    <w:rsid w:val="002441C5"/>
    <w:rsid w:val="002443AE"/>
    <w:rsid w:val="002445F1"/>
    <w:rsid w:val="002448A1"/>
    <w:rsid w:val="00245375"/>
    <w:rsid w:val="00245951"/>
    <w:rsid w:val="00251364"/>
    <w:rsid w:val="00251FE5"/>
    <w:rsid w:val="002528E7"/>
    <w:rsid w:val="00255379"/>
    <w:rsid w:val="002553D1"/>
    <w:rsid w:val="002565D2"/>
    <w:rsid w:val="002613B4"/>
    <w:rsid w:val="00261D49"/>
    <w:rsid w:val="00263F91"/>
    <w:rsid w:val="00265CF7"/>
    <w:rsid w:val="002664A3"/>
    <w:rsid w:val="0026652F"/>
    <w:rsid w:val="0026682A"/>
    <w:rsid w:val="00266AA5"/>
    <w:rsid w:val="002678A8"/>
    <w:rsid w:val="00270469"/>
    <w:rsid w:val="00272656"/>
    <w:rsid w:val="00276322"/>
    <w:rsid w:val="002773B4"/>
    <w:rsid w:val="00282132"/>
    <w:rsid w:val="002822DB"/>
    <w:rsid w:val="00282343"/>
    <w:rsid w:val="0028388E"/>
    <w:rsid w:val="00285FE0"/>
    <w:rsid w:val="00286ADD"/>
    <w:rsid w:val="002875A0"/>
    <w:rsid w:val="00287B37"/>
    <w:rsid w:val="00287CF4"/>
    <w:rsid w:val="00287EA0"/>
    <w:rsid w:val="00291590"/>
    <w:rsid w:val="00292727"/>
    <w:rsid w:val="00293EBB"/>
    <w:rsid w:val="0029431A"/>
    <w:rsid w:val="002946C7"/>
    <w:rsid w:val="00294F31"/>
    <w:rsid w:val="0029538C"/>
    <w:rsid w:val="00295E5F"/>
    <w:rsid w:val="00296879"/>
    <w:rsid w:val="0029768E"/>
    <w:rsid w:val="0029787A"/>
    <w:rsid w:val="002A0245"/>
    <w:rsid w:val="002A3352"/>
    <w:rsid w:val="002A4136"/>
    <w:rsid w:val="002A428A"/>
    <w:rsid w:val="002A5453"/>
    <w:rsid w:val="002A5798"/>
    <w:rsid w:val="002A5950"/>
    <w:rsid w:val="002A5999"/>
    <w:rsid w:val="002A6B33"/>
    <w:rsid w:val="002A7122"/>
    <w:rsid w:val="002B0C38"/>
    <w:rsid w:val="002B1E15"/>
    <w:rsid w:val="002B2943"/>
    <w:rsid w:val="002B2A74"/>
    <w:rsid w:val="002B2AF0"/>
    <w:rsid w:val="002B3712"/>
    <w:rsid w:val="002B3787"/>
    <w:rsid w:val="002B3AEF"/>
    <w:rsid w:val="002B3D8A"/>
    <w:rsid w:val="002B539E"/>
    <w:rsid w:val="002B797D"/>
    <w:rsid w:val="002C0ADB"/>
    <w:rsid w:val="002C153E"/>
    <w:rsid w:val="002C1B44"/>
    <w:rsid w:val="002C1C60"/>
    <w:rsid w:val="002C2ED5"/>
    <w:rsid w:val="002C389A"/>
    <w:rsid w:val="002C3D0D"/>
    <w:rsid w:val="002C417A"/>
    <w:rsid w:val="002C632A"/>
    <w:rsid w:val="002C73EE"/>
    <w:rsid w:val="002C7970"/>
    <w:rsid w:val="002C79F1"/>
    <w:rsid w:val="002C7E43"/>
    <w:rsid w:val="002D13AE"/>
    <w:rsid w:val="002D1EF3"/>
    <w:rsid w:val="002D450F"/>
    <w:rsid w:val="002E04EA"/>
    <w:rsid w:val="002E0563"/>
    <w:rsid w:val="002E1EE4"/>
    <w:rsid w:val="002E2D75"/>
    <w:rsid w:val="002E3394"/>
    <w:rsid w:val="002E44B0"/>
    <w:rsid w:val="002E549B"/>
    <w:rsid w:val="002E563D"/>
    <w:rsid w:val="002E5883"/>
    <w:rsid w:val="002E6AD9"/>
    <w:rsid w:val="002E6E90"/>
    <w:rsid w:val="002E7D94"/>
    <w:rsid w:val="002F0164"/>
    <w:rsid w:val="002F05C6"/>
    <w:rsid w:val="002F0F9E"/>
    <w:rsid w:val="002F1541"/>
    <w:rsid w:val="002F17E7"/>
    <w:rsid w:val="002F219D"/>
    <w:rsid w:val="002F24AA"/>
    <w:rsid w:val="002F287C"/>
    <w:rsid w:val="002F388E"/>
    <w:rsid w:val="002F439E"/>
    <w:rsid w:val="002F43A5"/>
    <w:rsid w:val="002F4458"/>
    <w:rsid w:val="002F4519"/>
    <w:rsid w:val="002F5194"/>
    <w:rsid w:val="002F52EF"/>
    <w:rsid w:val="002F56E6"/>
    <w:rsid w:val="002F6839"/>
    <w:rsid w:val="002F6DED"/>
    <w:rsid w:val="002F6FB6"/>
    <w:rsid w:val="003002DB"/>
    <w:rsid w:val="00300595"/>
    <w:rsid w:val="00300D46"/>
    <w:rsid w:val="0030280B"/>
    <w:rsid w:val="00302A93"/>
    <w:rsid w:val="00304D8B"/>
    <w:rsid w:val="003056C5"/>
    <w:rsid w:val="00305C52"/>
    <w:rsid w:val="00306214"/>
    <w:rsid w:val="003073F8"/>
    <w:rsid w:val="00307B82"/>
    <w:rsid w:val="00310386"/>
    <w:rsid w:val="003105D4"/>
    <w:rsid w:val="003129D4"/>
    <w:rsid w:val="00313C2B"/>
    <w:rsid w:val="00314B9A"/>
    <w:rsid w:val="00316456"/>
    <w:rsid w:val="00316D62"/>
    <w:rsid w:val="00317F9D"/>
    <w:rsid w:val="00320B6A"/>
    <w:rsid w:val="00320C15"/>
    <w:rsid w:val="00321167"/>
    <w:rsid w:val="003219FA"/>
    <w:rsid w:val="00321B75"/>
    <w:rsid w:val="00321D1A"/>
    <w:rsid w:val="003222B4"/>
    <w:rsid w:val="00322667"/>
    <w:rsid w:val="00322721"/>
    <w:rsid w:val="003244E5"/>
    <w:rsid w:val="0032507D"/>
    <w:rsid w:val="0033037F"/>
    <w:rsid w:val="00330B90"/>
    <w:rsid w:val="00330B9A"/>
    <w:rsid w:val="00330D11"/>
    <w:rsid w:val="003316AA"/>
    <w:rsid w:val="00333DD6"/>
    <w:rsid w:val="0033416C"/>
    <w:rsid w:val="003346BE"/>
    <w:rsid w:val="00336AC7"/>
    <w:rsid w:val="00336F42"/>
    <w:rsid w:val="003370C5"/>
    <w:rsid w:val="00337570"/>
    <w:rsid w:val="00337FC9"/>
    <w:rsid w:val="00342113"/>
    <w:rsid w:val="00342277"/>
    <w:rsid w:val="00342553"/>
    <w:rsid w:val="00343E9D"/>
    <w:rsid w:val="0034496B"/>
    <w:rsid w:val="003454A3"/>
    <w:rsid w:val="00345526"/>
    <w:rsid w:val="00345B91"/>
    <w:rsid w:val="003473DE"/>
    <w:rsid w:val="003474E1"/>
    <w:rsid w:val="003475D0"/>
    <w:rsid w:val="00350851"/>
    <w:rsid w:val="00351D51"/>
    <w:rsid w:val="0035240C"/>
    <w:rsid w:val="00352F40"/>
    <w:rsid w:val="00354D4A"/>
    <w:rsid w:val="00355270"/>
    <w:rsid w:val="003556F6"/>
    <w:rsid w:val="00355723"/>
    <w:rsid w:val="00356440"/>
    <w:rsid w:val="003564D6"/>
    <w:rsid w:val="0035728C"/>
    <w:rsid w:val="0036191C"/>
    <w:rsid w:val="003622EB"/>
    <w:rsid w:val="00362300"/>
    <w:rsid w:val="0036279D"/>
    <w:rsid w:val="003635B9"/>
    <w:rsid w:val="003637E2"/>
    <w:rsid w:val="00363F51"/>
    <w:rsid w:val="0036411D"/>
    <w:rsid w:val="00364315"/>
    <w:rsid w:val="00365050"/>
    <w:rsid w:val="003653E8"/>
    <w:rsid w:val="00365969"/>
    <w:rsid w:val="00365DD8"/>
    <w:rsid w:val="00366B19"/>
    <w:rsid w:val="003702FE"/>
    <w:rsid w:val="00370B7A"/>
    <w:rsid w:val="00372EED"/>
    <w:rsid w:val="00373473"/>
    <w:rsid w:val="00373FBD"/>
    <w:rsid w:val="00375F26"/>
    <w:rsid w:val="00375F38"/>
    <w:rsid w:val="0037750A"/>
    <w:rsid w:val="00377932"/>
    <w:rsid w:val="00380407"/>
    <w:rsid w:val="00380D1F"/>
    <w:rsid w:val="00380FCE"/>
    <w:rsid w:val="0038145B"/>
    <w:rsid w:val="0038239C"/>
    <w:rsid w:val="003824C5"/>
    <w:rsid w:val="00382990"/>
    <w:rsid w:val="003838E5"/>
    <w:rsid w:val="00384C9E"/>
    <w:rsid w:val="003850A0"/>
    <w:rsid w:val="00385A95"/>
    <w:rsid w:val="00385CB3"/>
    <w:rsid w:val="003865BD"/>
    <w:rsid w:val="00387D6D"/>
    <w:rsid w:val="003908D4"/>
    <w:rsid w:val="00390970"/>
    <w:rsid w:val="003912EE"/>
    <w:rsid w:val="003914C5"/>
    <w:rsid w:val="003928C4"/>
    <w:rsid w:val="00392F90"/>
    <w:rsid w:val="003935D5"/>
    <w:rsid w:val="0039456A"/>
    <w:rsid w:val="00394638"/>
    <w:rsid w:val="00394F7D"/>
    <w:rsid w:val="003950B4"/>
    <w:rsid w:val="00396A75"/>
    <w:rsid w:val="003978F2"/>
    <w:rsid w:val="00397CF6"/>
    <w:rsid w:val="003A0623"/>
    <w:rsid w:val="003A190C"/>
    <w:rsid w:val="003A32F8"/>
    <w:rsid w:val="003A3434"/>
    <w:rsid w:val="003A359B"/>
    <w:rsid w:val="003A4753"/>
    <w:rsid w:val="003A4B4D"/>
    <w:rsid w:val="003B0FE1"/>
    <w:rsid w:val="003B2FC2"/>
    <w:rsid w:val="003B43D2"/>
    <w:rsid w:val="003B55B2"/>
    <w:rsid w:val="003B58FD"/>
    <w:rsid w:val="003B6373"/>
    <w:rsid w:val="003B6B77"/>
    <w:rsid w:val="003B6EC5"/>
    <w:rsid w:val="003B7336"/>
    <w:rsid w:val="003B74E5"/>
    <w:rsid w:val="003B7EBE"/>
    <w:rsid w:val="003B7FE6"/>
    <w:rsid w:val="003C04ED"/>
    <w:rsid w:val="003C112E"/>
    <w:rsid w:val="003C19A3"/>
    <w:rsid w:val="003C2E82"/>
    <w:rsid w:val="003C4AF3"/>
    <w:rsid w:val="003C4CDA"/>
    <w:rsid w:val="003C632A"/>
    <w:rsid w:val="003C653A"/>
    <w:rsid w:val="003C7B1F"/>
    <w:rsid w:val="003D0137"/>
    <w:rsid w:val="003D0530"/>
    <w:rsid w:val="003D06D1"/>
    <w:rsid w:val="003D1030"/>
    <w:rsid w:val="003D1A95"/>
    <w:rsid w:val="003D1FA2"/>
    <w:rsid w:val="003D3A8B"/>
    <w:rsid w:val="003D3C00"/>
    <w:rsid w:val="003D5770"/>
    <w:rsid w:val="003D5BF8"/>
    <w:rsid w:val="003D7A9A"/>
    <w:rsid w:val="003D7B16"/>
    <w:rsid w:val="003D7D63"/>
    <w:rsid w:val="003D7E09"/>
    <w:rsid w:val="003D7F21"/>
    <w:rsid w:val="003E0399"/>
    <w:rsid w:val="003E062D"/>
    <w:rsid w:val="003E0B47"/>
    <w:rsid w:val="003E0D06"/>
    <w:rsid w:val="003E111E"/>
    <w:rsid w:val="003E3486"/>
    <w:rsid w:val="003E4386"/>
    <w:rsid w:val="003E4A50"/>
    <w:rsid w:val="003E4E0A"/>
    <w:rsid w:val="003E5190"/>
    <w:rsid w:val="003E57A2"/>
    <w:rsid w:val="003E69C2"/>
    <w:rsid w:val="003E74CB"/>
    <w:rsid w:val="003F0011"/>
    <w:rsid w:val="003F0F0B"/>
    <w:rsid w:val="003F10F1"/>
    <w:rsid w:val="003F1A5F"/>
    <w:rsid w:val="003F1FEE"/>
    <w:rsid w:val="003F2AED"/>
    <w:rsid w:val="003F3705"/>
    <w:rsid w:val="003F3DF7"/>
    <w:rsid w:val="003F4261"/>
    <w:rsid w:val="003F5B49"/>
    <w:rsid w:val="003F6154"/>
    <w:rsid w:val="003F637D"/>
    <w:rsid w:val="00400BA6"/>
    <w:rsid w:val="00404745"/>
    <w:rsid w:val="00404AB9"/>
    <w:rsid w:val="0040504C"/>
    <w:rsid w:val="00405D21"/>
    <w:rsid w:val="004105B0"/>
    <w:rsid w:val="00410900"/>
    <w:rsid w:val="0041401A"/>
    <w:rsid w:val="00414D41"/>
    <w:rsid w:val="00415ED6"/>
    <w:rsid w:val="00420934"/>
    <w:rsid w:val="00421004"/>
    <w:rsid w:val="004215D1"/>
    <w:rsid w:val="00422FA5"/>
    <w:rsid w:val="0042335C"/>
    <w:rsid w:val="004234C1"/>
    <w:rsid w:val="00424C40"/>
    <w:rsid w:val="00424FF2"/>
    <w:rsid w:val="00425213"/>
    <w:rsid w:val="00426352"/>
    <w:rsid w:val="00427FC3"/>
    <w:rsid w:val="00430E10"/>
    <w:rsid w:val="00431B22"/>
    <w:rsid w:val="0043274D"/>
    <w:rsid w:val="00432CCA"/>
    <w:rsid w:val="00432D42"/>
    <w:rsid w:val="004339E2"/>
    <w:rsid w:val="00434C42"/>
    <w:rsid w:val="00434C7E"/>
    <w:rsid w:val="0043517B"/>
    <w:rsid w:val="004368BA"/>
    <w:rsid w:val="004402B2"/>
    <w:rsid w:val="00440DD6"/>
    <w:rsid w:val="00441524"/>
    <w:rsid w:val="00441C42"/>
    <w:rsid w:val="00441F18"/>
    <w:rsid w:val="00441F88"/>
    <w:rsid w:val="00443152"/>
    <w:rsid w:val="00443584"/>
    <w:rsid w:val="00443FAF"/>
    <w:rsid w:val="004440B4"/>
    <w:rsid w:val="004441DB"/>
    <w:rsid w:val="00444D39"/>
    <w:rsid w:val="00444E41"/>
    <w:rsid w:val="004462F3"/>
    <w:rsid w:val="00447440"/>
    <w:rsid w:val="00447AA1"/>
    <w:rsid w:val="004504B1"/>
    <w:rsid w:val="00450A9E"/>
    <w:rsid w:val="00451011"/>
    <w:rsid w:val="00455944"/>
    <w:rsid w:val="00455A59"/>
    <w:rsid w:val="00457CE0"/>
    <w:rsid w:val="00462B59"/>
    <w:rsid w:val="00464939"/>
    <w:rsid w:val="00464A03"/>
    <w:rsid w:val="004714DA"/>
    <w:rsid w:val="00471751"/>
    <w:rsid w:val="0047272F"/>
    <w:rsid w:val="004729C5"/>
    <w:rsid w:val="00472C34"/>
    <w:rsid w:val="00472EA7"/>
    <w:rsid w:val="0047396F"/>
    <w:rsid w:val="00475B08"/>
    <w:rsid w:val="00475DD2"/>
    <w:rsid w:val="00475DF5"/>
    <w:rsid w:val="004773A1"/>
    <w:rsid w:val="00477BC6"/>
    <w:rsid w:val="00480626"/>
    <w:rsid w:val="00480CE1"/>
    <w:rsid w:val="004811CD"/>
    <w:rsid w:val="00481E45"/>
    <w:rsid w:val="00482275"/>
    <w:rsid w:val="0048326F"/>
    <w:rsid w:val="00485F24"/>
    <w:rsid w:val="00490101"/>
    <w:rsid w:val="0049083C"/>
    <w:rsid w:val="004911E5"/>
    <w:rsid w:val="00492A70"/>
    <w:rsid w:val="00492C07"/>
    <w:rsid w:val="00492C73"/>
    <w:rsid w:val="00492E7F"/>
    <w:rsid w:val="00493200"/>
    <w:rsid w:val="004942FD"/>
    <w:rsid w:val="004946DC"/>
    <w:rsid w:val="004A0897"/>
    <w:rsid w:val="004A0C83"/>
    <w:rsid w:val="004A1AC9"/>
    <w:rsid w:val="004A216C"/>
    <w:rsid w:val="004A2321"/>
    <w:rsid w:val="004A404A"/>
    <w:rsid w:val="004A49ED"/>
    <w:rsid w:val="004A6E8C"/>
    <w:rsid w:val="004B1CCC"/>
    <w:rsid w:val="004B26B1"/>
    <w:rsid w:val="004B2761"/>
    <w:rsid w:val="004B3200"/>
    <w:rsid w:val="004B322D"/>
    <w:rsid w:val="004B4B86"/>
    <w:rsid w:val="004B4DFC"/>
    <w:rsid w:val="004B5C04"/>
    <w:rsid w:val="004C0B20"/>
    <w:rsid w:val="004C1E3F"/>
    <w:rsid w:val="004C2DF6"/>
    <w:rsid w:val="004C3144"/>
    <w:rsid w:val="004C3EC5"/>
    <w:rsid w:val="004C417B"/>
    <w:rsid w:val="004C54B7"/>
    <w:rsid w:val="004C647D"/>
    <w:rsid w:val="004C7913"/>
    <w:rsid w:val="004C7CB5"/>
    <w:rsid w:val="004D06F9"/>
    <w:rsid w:val="004D0A15"/>
    <w:rsid w:val="004D0BDC"/>
    <w:rsid w:val="004D10E4"/>
    <w:rsid w:val="004D113E"/>
    <w:rsid w:val="004D118C"/>
    <w:rsid w:val="004D40EC"/>
    <w:rsid w:val="004D482F"/>
    <w:rsid w:val="004D4B61"/>
    <w:rsid w:val="004D591C"/>
    <w:rsid w:val="004D5C3D"/>
    <w:rsid w:val="004D6815"/>
    <w:rsid w:val="004D7C21"/>
    <w:rsid w:val="004E01E8"/>
    <w:rsid w:val="004E13B6"/>
    <w:rsid w:val="004E1946"/>
    <w:rsid w:val="004E1A1E"/>
    <w:rsid w:val="004E2485"/>
    <w:rsid w:val="004E6520"/>
    <w:rsid w:val="004E7250"/>
    <w:rsid w:val="004E780B"/>
    <w:rsid w:val="004F03F7"/>
    <w:rsid w:val="004F1263"/>
    <w:rsid w:val="004F1D31"/>
    <w:rsid w:val="004F27C9"/>
    <w:rsid w:val="004F2A80"/>
    <w:rsid w:val="004F3A09"/>
    <w:rsid w:val="004F475A"/>
    <w:rsid w:val="004F50DE"/>
    <w:rsid w:val="004F54BC"/>
    <w:rsid w:val="004F5808"/>
    <w:rsid w:val="004F6F65"/>
    <w:rsid w:val="004F7E6A"/>
    <w:rsid w:val="005003EE"/>
    <w:rsid w:val="00500F5D"/>
    <w:rsid w:val="005015EB"/>
    <w:rsid w:val="00501CD0"/>
    <w:rsid w:val="00502767"/>
    <w:rsid w:val="005035BF"/>
    <w:rsid w:val="0050448D"/>
    <w:rsid w:val="00505C1E"/>
    <w:rsid w:val="005068C5"/>
    <w:rsid w:val="005113AD"/>
    <w:rsid w:val="005124F5"/>
    <w:rsid w:val="00513C7A"/>
    <w:rsid w:val="00515004"/>
    <w:rsid w:val="00516C37"/>
    <w:rsid w:val="005212E2"/>
    <w:rsid w:val="005243EF"/>
    <w:rsid w:val="00524B56"/>
    <w:rsid w:val="00524D71"/>
    <w:rsid w:val="00524F97"/>
    <w:rsid w:val="0052530D"/>
    <w:rsid w:val="00525D67"/>
    <w:rsid w:val="005263D3"/>
    <w:rsid w:val="0052650D"/>
    <w:rsid w:val="0052715F"/>
    <w:rsid w:val="00527D7A"/>
    <w:rsid w:val="005300A1"/>
    <w:rsid w:val="0053163D"/>
    <w:rsid w:val="00532B44"/>
    <w:rsid w:val="00533EA2"/>
    <w:rsid w:val="0053428D"/>
    <w:rsid w:val="005351EC"/>
    <w:rsid w:val="0053547A"/>
    <w:rsid w:val="00535BEB"/>
    <w:rsid w:val="00535C28"/>
    <w:rsid w:val="00536148"/>
    <w:rsid w:val="00540257"/>
    <w:rsid w:val="005412B5"/>
    <w:rsid w:val="0054197F"/>
    <w:rsid w:val="005432C6"/>
    <w:rsid w:val="00543AEF"/>
    <w:rsid w:val="0054403E"/>
    <w:rsid w:val="005459D6"/>
    <w:rsid w:val="00546FD4"/>
    <w:rsid w:val="00547294"/>
    <w:rsid w:val="005476F9"/>
    <w:rsid w:val="0055044D"/>
    <w:rsid w:val="00553052"/>
    <w:rsid w:val="00554F41"/>
    <w:rsid w:val="00555D4E"/>
    <w:rsid w:val="00556ED9"/>
    <w:rsid w:val="0055792B"/>
    <w:rsid w:val="00557DFA"/>
    <w:rsid w:val="0056011D"/>
    <w:rsid w:val="0056014E"/>
    <w:rsid w:val="005614F4"/>
    <w:rsid w:val="005619CD"/>
    <w:rsid w:val="00562118"/>
    <w:rsid w:val="005644E7"/>
    <w:rsid w:val="00565616"/>
    <w:rsid w:val="00566A9B"/>
    <w:rsid w:val="00567CDE"/>
    <w:rsid w:val="00567F45"/>
    <w:rsid w:val="005734F5"/>
    <w:rsid w:val="005736DA"/>
    <w:rsid w:val="00574092"/>
    <w:rsid w:val="005750B7"/>
    <w:rsid w:val="00575548"/>
    <w:rsid w:val="00575898"/>
    <w:rsid w:val="0057795A"/>
    <w:rsid w:val="005802CE"/>
    <w:rsid w:val="00583BCD"/>
    <w:rsid w:val="005851AC"/>
    <w:rsid w:val="00585243"/>
    <w:rsid w:val="005871A4"/>
    <w:rsid w:val="00592485"/>
    <w:rsid w:val="00592BF4"/>
    <w:rsid w:val="00593402"/>
    <w:rsid w:val="00593BEE"/>
    <w:rsid w:val="00596CFA"/>
    <w:rsid w:val="005975F1"/>
    <w:rsid w:val="00597643"/>
    <w:rsid w:val="005A18C1"/>
    <w:rsid w:val="005A23F5"/>
    <w:rsid w:val="005A2B0F"/>
    <w:rsid w:val="005A373C"/>
    <w:rsid w:val="005A4586"/>
    <w:rsid w:val="005A4D27"/>
    <w:rsid w:val="005A6972"/>
    <w:rsid w:val="005A6A72"/>
    <w:rsid w:val="005A6D85"/>
    <w:rsid w:val="005A7841"/>
    <w:rsid w:val="005B0109"/>
    <w:rsid w:val="005B107D"/>
    <w:rsid w:val="005B1308"/>
    <w:rsid w:val="005B13B4"/>
    <w:rsid w:val="005B4362"/>
    <w:rsid w:val="005B4A22"/>
    <w:rsid w:val="005B657D"/>
    <w:rsid w:val="005B75D4"/>
    <w:rsid w:val="005B7AE3"/>
    <w:rsid w:val="005C1CA6"/>
    <w:rsid w:val="005C1E8F"/>
    <w:rsid w:val="005C25FF"/>
    <w:rsid w:val="005C2A59"/>
    <w:rsid w:val="005C4BF8"/>
    <w:rsid w:val="005C5D39"/>
    <w:rsid w:val="005C756F"/>
    <w:rsid w:val="005D01B6"/>
    <w:rsid w:val="005D0517"/>
    <w:rsid w:val="005D09C5"/>
    <w:rsid w:val="005D0FE0"/>
    <w:rsid w:val="005D133D"/>
    <w:rsid w:val="005D1596"/>
    <w:rsid w:val="005D1CA3"/>
    <w:rsid w:val="005D4C3F"/>
    <w:rsid w:val="005D51AC"/>
    <w:rsid w:val="005D5BAC"/>
    <w:rsid w:val="005D66F9"/>
    <w:rsid w:val="005D68AE"/>
    <w:rsid w:val="005D7D29"/>
    <w:rsid w:val="005E12FC"/>
    <w:rsid w:val="005E16CF"/>
    <w:rsid w:val="005E190D"/>
    <w:rsid w:val="005E2760"/>
    <w:rsid w:val="005E436F"/>
    <w:rsid w:val="005E61EE"/>
    <w:rsid w:val="005F1058"/>
    <w:rsid w:val="005F2A24"/>
    <w:rsid w:val="005F3F2B"/>
    <w:rsid w:val="005F422D"/>
    <w:rsid w:val="005F4AD5"/>
    <w:rsid w:val="005F6AE0"/>
    <w:rsid w:val="005F7B0E"/>
    <w:rsid w:val="00600328"/>
    <w:rsid w:val="006009DF"/>
    <w:rsid w:val="00600A11"/>
    <w:rsid w:val="00600AAF"/>
    <w:rsid w:val="00600F22"/>
    <w:rsid w:val="00602226"/>
    <w:rsid w:val="00602CD3"/>
    <w:rsid w:val="0060334B"/>
    <w:rsid w:val="00606DBB"/>
    <w:rsid w:val="006108A7"/>
    <w:rsid w:val="00612EF4"/>
    <w:rsid w:val="0061347A"/>
    <w:rsid w:val="0061426F"/>
    <w:rsid w:val="006144EA"/>
    <w:rsid w:val="006156E1"/>
    <w:rsid w:val="0061607D"/>
    <w:rsid w:val="006172A1"/>
    <w:rsid w:val="0062046F"/>
    <w:rsid w:val="006216AC"/>
    <w:rsid w:val="0062224F"/>
    <w:rsid w:val="00622479"/>
    <w:rsid w:val="0062393A"/>
    <w:rsid w:val="00623B72"/>
    <w:rsid w:val="0062646F"/>
    <w:rsid w:val="00626A04"/>
    <w:rsid w:val="006300C8"/>
    <w:rsid w:val="00631414"/>
    <w:rsid w:val="00631950"/>
    <w:rsid w:val="00632AE9"/>
    <w:rsid w:val="006331C8"/>
    <w:rsid w:val="00633671"/>
    <w:rsid w:val="00634685"/>
    <w:rsid w:val="00634D2E"/>
    <w:rsid w:val="00635B69"/>
    <w:rsid w:val="00636560"/>
    <w:rsid w:val="00636A03"/>
    <w:rsid w:val="00636A96"/>
    <w:rsid w:val="006373BA"/>
    <w:rsid w:val="00637956"/>
    <w:rsid w:val="00640BBD"/>
    <w:rsid w:val="00641540"/>
    <w:rsid w:val="0064177F"/>
    <w:rsid w:val="00641D16"/>
    <w:rsid w:val="00642061"/>
    <w:rsid w:val="006451B3"/>
    <w:rsid w:val="00646644"/>
    <w:rsid w:val="0064683F"/>
    <w:rsid w:val="00646CC0"/>
    <w:rsid w:val="00646FA1"/>
    <w:rsid w:val="00651108"/>
    <w:rsid w:val="006531FA"/>
    <w:rsid w:val="006532E6"/>
    <w:rsid w:val="00653ED6"/>
    <w:rsid w:val="00653F43"/>
    <w:rsid w:val="006549A5"/>
    <w:rsid w:val="00654E01"/>
    <w:rsid w:val="00655D8F"/>
    <w:rsid w:val="0065636B"/>
    <w:rsid w:val="00656B12"/>
    <w:rsid w:val="006604CA"/>
    <w:rsid w:val="00660CDF"/>
    <w:rsid w:val="00660F4D"/>
    <w:rsid w:val="00661430"/>
    <w:rsid w:val="006616B9"/>
    <w:rsid w:val="0066190B"/>
    <w:rsid w:val="00662947"/>
    <w:rsid w:val="00662B7F"/>
    <w:rsid w:val="00663974"/>
    <w:rsid w:val="00663AC5"/>
    <w:rsid w:val="0066549B"/>
    <w:rsid w:val="00665CE6"/>
    <w:rsid w:val="00666F4C"/>
    <w:rsid w:val="006672B9"/>
    <w:rsid w:val="00670235"/>
    <w:rsid w:val="006709F4"/>
    <w:rsid w:val="00672884"/>
    <w:rsid w:val="00672956"/>
    <w:rsid w:val="00673DE3"/>
    <w:rsid w:val="00673F4D"/>
    <w:rsid w:val="00673F79"/>
    <w:rsid w:val="00674018"/>
    <w:rsid w:val="00675402"/>
    <w:rsid w:val="006757DB"/>
    <w:rsid w:val="00676366"/>
    <w:rsid w:val="00676BC4"/>
    <w:rsid w:val="0067789F"/>
    <w:rsid w:val="00681018"/>
    <w:rsid w:val="00681548"/>
    <w:rsid w:val="0068267A"/>
    <w:rsid w:val="006852BF"/>
    <w:rsid w:val="0068562A"/>
    <w:rsid w:val="00686410"/>
    <w:rsid w:val="006872C2"/>
    <w:rsid w:val="00690979"/>
    <w:rsid w:val="006922E7"/>
    <w:rsid w:val="00693169"/>
    <w:rsid w:val="006944DD"/>
    <w:rsid w:val="0069461B"/>
    <w:rsid w:val="00694FC8"/>
    <w:rsid w:val="00695438"/>
    <w:rsid w:val="00695948"/>
    <w:rsid w:val="0069756E"/>
    <w:rsid w:val="006A05F7"/>
    <w:rsid w:val="006A0F75"/>
    <w:rsid w:val="006A1744"/>
    <w:rsid w:val="006A182D"/>
    <w:rsid w:val="006A2A41"/>
    <w:rsid w:val="006A32EC"/>
    <w:rsid w:val="006A42D7"/>
    <w:rsid w:val="006A5A8D"/>
    <w:rsid w:val="006A6172"/>
    <w:rsid w:val="006A6721"/>
    <w:rsid w:val="006A7021"/>
    <w:rsid w:val="006B0792"/>
    <w:rsid w:val="006B0FD7"/>
    <w:rsid w:val="006B2B07"/>
    <w:rsid w:val="006B31AA"/>
    <w:rsid w:val="006B367B"/>
    <w:rsid w:val="006B464C"/>
    <w:rsid w:val="006B6792"/>
    <w:rsid w:val="006B6A0C"/>
    <w:rsid w:val="006B75BF"/>
    <w:rsid w:val="006C0950"/>
    <w:rsid w:val="006C0C8E"/>
    <w:rsid w:val="006C1442"/>
    <w:rsid w:val="006C45CA"/>
    <w:rsid w:val="006C4906"/>
    <w:rsid w:val="006C4E4B"/>
    <w:rsid w:val="006C5044"/>
    <w:rsid w:val="006C6E8B"/>
    <w:rsid w:val="006C76BC"/>
    <w:rsid w:val="006C76E2"/>
    <w:rsid w:val="006D0895"/>
    <w:rsid w:val="006D096C"/>
    <w:rsid w:val="006D09A2"/>
    <w:rsid w:val="006D0CCA"/>
    <w:rsid w:val="006D1331"/>
    <w:rsid w:val="006D1552"/>
    <w:rsid w:val="006D24C4"/>
    <w:rsid w:val="006D2CB8"/>
    <w:rsid w:val="006D397D"/>
    <w:rsid w:val="006D4032"/>
    <w:rsid w:val="006D4236"/>
    <w:rsid w:val="006D4EEC"/>
    <w:rsid w:val="006D5689"/>
    <w:rsid w:val="006D60AD"/>
    <w:rsid w:val="006D7779"/>
    <w:rsid w:val="006E1213"/>
    <w:rsid w:val="006E2011"/>
    <w:rsid w:val="006E22D1"/>
    <w:rsid w:val="006E3E3F"/>
    <w:rsid w:val="006E532C"/>
    <w:rsid w:val="006E75E5"/>
    <w:rsid w:val="006E76B1"/>
    <w:rsid w:val="006F0226"/>
    <w:rsid w:val="006F1A25"/>
    <w:rsid w:val="006F2807"/>
    <w:rsid w:val="006F472A"/>
    <w:rsid w:val="006F509F"/>
    <w:rsid w:val="006F5D2B"/>
    <w:rsid w:val="00700EC7"/>
    <w:rsid w:val="00700FE9"/>
    <w:rsid w:val="00701A54"/>
    <w:rsid w:val="00701FBC"/>
    <w:rsid w:val="007025FA"/>
    <w:rsid w:val="00702702"/>
    <w:rsid w:val="007029F4"/>
    <w:rsid w:val="00703330"/>
    <w:rsid w:val="00703EBD"/>
    <w:rsid w:val="00704062"/>
    <w:rsid w:val="0070454F"/>
    <w:rsid w:val="007051B1"/>
    <w:rsid w:val="0070599E"/>
    <w:rsid w:val="00705AA2"/>
    <w:rsid w:val="0070653D"/>
    <w:rsid w:val="00707388"/>
    <w:rsid w:val="0070752C"/>
    <w:rsid w:val="007076F7"/>
    <w:rsid w:val="00710748"/>
    <w:rsid w:val="00711902"/>
    <w:rsid w:val="00711AF2"/>
    <w:rsid w:val="00711C4B"/>
    <w:rsid w:val="00711F1A"/>
    <w:rsid w:val="00712F87"/>
    <w:rsid w:val="00713A35"/>
    <w:rsid w:val="00714432"/>
    <w:rsid w:val="007152F2"/>
    <w:rsid w:val="007160FE"/>
    <w:rsid w:val="00717936"/>
    <w:rsid w:val="00720608"/>
    <w:rsid w:val="00720B09"/>
    <w:rsid w:val="007216C9"/>
    <w:rsid w:val="00723FB5"/>
    <w:rsid w:val="00726EA0"/>
    <w:rsid w:val="0073347D"/>
    <w:rsid w:val="007339C2"/>
    <w:rsid w:val="007344C3"/>
    <w:rsid w:val="00734724"/>
    <w:rsid w:val="00735F48"/>
    <w:rsid w:val="007367E4"/>
    <w:rsid w:val="007374B0"/>
    <w:rsid w:val="0074090C"/>
    <w:rsid w:val="00740D3A"/>
    <w:rsid w:val="00741EF5"/>
    <w:rsid w:val="007431CE"/>
    <w:rsid w:val="007439F9"/>
    <w:rsid w:val="00743CFE"/>
    <w:rsid w:val="007443B2"/>
    <w:rsid w:val="00745363"/>
    <w:rsid w:val="00745C93"/>
    <w:rsid w:val="00745CB5"/>
    <w:rsid w:val="00746A98"/>
    <w:rsid w:val="00746E25"/>
    <w:rsid w:val="00746F23"/>
    <w:rsid w:val="0075210B"/>
    <w:rsid w:val="00752596"/>
    <w:rsid w:val="0075652C"/>
    <w:rsid w:val="00756E08"/>
    <w:rsid w:val="0075700A"/>
    <w:rsid w:val="007578F3"/>
    <w:rsid w:val="00757D46"/>
    <w:rsid w:val="0076383A"/>
    <w:rsid w:val="00763C79"/>
    <w:rsid w:val="00763EA5"/>
    <w:rsid w:val="007650EF"/>
    <w:rsid w:val="00765941"/>
    <w:rsid w:val="007661F4"/>
    <w:rsid w:val="00766C3E"/>
    <w:rsid w:val="00767CFD"/>
    <w:rsid w:val="00770B97"/>
    <w:rsid w:val="00771135"/>
    <w:rsid w:val="00772082"/>
    <w:rsid w:val="00772ED0"/>
    <w:rsid w:val="00773F8C"/>
    <w:rsid w:val="00774459"/>
    <w:rsid w:val="00774987"/>
    <w:rsid w:val="007767BF"/>
    <w:rsid w:val="007768E2"/>
    <w:rsid w:val="0077698A"/>
    <w:rsid w:val="00776CAD"/>
    <w:rsid w:val="007816F7"/>
    <w:rsid w:val="007817C7"/>
    <w:rsid w:val="00783F39"/>
    <w:rsid w:val="007841B4"/>
    <w:rsid w:val="00784FF8"/>
    <w:rsid w:val="00786D25"/>
    <w:rsid w:val="00790698"/>
    <w:rsid w:val="0079078F"/>
    <w:rsid w:val="00790EDD"/>
    <w:rsid w:val="007913E8"/>
    <w:rsid w:val="007937A8"/>
    <w:rsid w:val="00793BF8"/>
    <w:rsid w:val="00794A43"/>
    <w:rsid w:val="00794BA6"/>
    <w:rsid w:val="00795F7B"/>
    <w:rsid w:val="007963F6"/>
    <w:rsid w:val="00796622"/>
    <w:rsid w:val="00797AD9"/>
    <w:rsid w:val="007A066A"/>
    <w:rsid w:val="007A148C"/>
    <w:rsid w:val="007A150D"/>
    <w:rsid w:val="007A2321"/>
    <w:rsid w:val="007A2D2E"/>
    <w:rsid w:val="007A3609"/>
    <w:rsid w:val="007A4524"/>
    <w:rsid w:val="007A4704"/>
    <w:rsid w:val="007A4CD4"/>
    <w:rsid w:val="007A552F"/>
    <w:rsid w:val="007A6264"/>
    <w:rsid w:val="007A6CEF"/>
    <w:rsid w:val="007B0D24"/>
    <w:rsid w:val="007B1BBD"/>
    <w:rsid w:val="007B2420"/>
    <w:rsid w:val="007B2552"/>
    <w:rsid w:val="007B2BC7"/>
    <w:rsid w:val="007B2FE2"/>
    <w:rsid w:val="007B3519"/>
    <w:rsid w:val="007B3C7F"/>
    <w:rsid w:val="007B5103"/>
    <w:rsid w:val="007B5DCF"/>
    <w:rsid w:val="007B6D3F"/>
    <w:rsid w:val="007B6E1F"/>
    <w:rsid w:val="007B7C88"/>
    <w:rsid w:val="007C02C4"/>
    <w:rsid w:val="007C129D"/>
    <w:rsid w:val="007C1372"/>
    <w:rsid w:val="007C18AD"/>
    <w:rsid w:val="007C2288"/>
    <w:rsid w:val="007C428A"/>
    <w:rsid w:val="007C4DBF"/>
    <w:rsid w:val="007C4F7E"/>
    <w:rsid w:val="007C6B8B"/>
    <w:rsid w:val="007C6E6F"/>
    <w:rsid w:val="007C7008"/>
    <w:rsid w:val="007C7434"/>
    <w:rsid w:val="007C794B"/>
    <w:rsid w:val="007C7E2E"/>
    <w:rsid w:val="007D2943"/>
    <w:rsid w:val="007D2E1E"/>
    <w:rsid w:val="007D352C"/>
    <w:rsid w:val="007D44AA"/>
    <w:rsid w:val="007D50DA"/>
    <w:rsid w:val="007D5660"/>
    <w:rsid w:val="007E0959"/>
    <w:rsid w:val="007E10E7"/>
    <w:rsid w:val="007E15E5"/>
    <w:rsid w:val="007E2AAF"/>
    <w:rsid w:val="007E3DCB"/>
    <w:rsid w:val="007E42E5"/>
    <w:rsid w:val="007E4361"/>
    <w:rsid w:val="007E47FF"/>
    <w:rsid w:val="007E4969"/>
    <w:rsid w:val="007E576B"/>
    <w:rsid w:val="007E6B65"/>
    <w:rsid w:val="007F0DE2"/>
    <w:rsid w:val="007F2BE9"/>
    <w:rsid w:val="007F5BB5"/>
    <w:rsid w:val="007F6401"/>
    <w:rsid w:val="007F6896"/>
    <w:rsid w:val="00801125"/>
    <w:rsid w:val="00802925"/>
    <w:rsid w:val="00802A9B"/>
    <w:rsid w:val="008033FA"/>
    <w:rsid w:val="00803E64"/>
    <w:rsid w:val="00805B24"/>
    <w:rsid w:val="00806CD9"/>
    <w:rsid w:val="00811D5C"/>
    <w:rsid w:val="0081222B"/>
    <w:rsid w:val="00812DD6"/>
    <w:rsid w:val="00813305"/>
    <w:rsid w:val="008135DE"/>
    <w:rsid w:val="008153B6"/>
    <w:rsid w:val="008163B1"/>
    <w:rsid w:val="008173E6"/>
    <w:rsid w:val="00820662"/>
    <w:rsid w:val="0082160E"/>
    <w:rsid w:val="008216B2"/>
    <w:rsid w:val="00824069"/>
    <w:rsid w:val="00824F4F"/>
    <w:rsid w:val="00825304"/>
    <w:rsid w:val="00826CFA"/>
    <w:rsid w:val="00827086"/>
    <w:rsid w:val="00827C4D"/>
    <w:rsid w:val="00827ECB"/>
    <w:rsid w:val="00830D29"/>
    <w:rsid w:val="00831A88"/>
    <w:rsid w:val="008327D4"/>
    <w:rsid w:val="00832C3F"/>
    <w:rsid w:val="00833253"/>
    <w:rsid w:val="00835142"/>
    <w:rsid w:val="00835BE4"/>
    <w:rsid w:val="00836193"/>
    <w:rsid w:val="00837078"/>
    <w:rsid w:val="00840024"/>
    <w:rsid w:val="008405EA"/>
    <w:rsid w:val="00841831"/>
    <w:rsid w:val="00842710"/>
    <w:rsid w:val="008430BE"/>
    <w:rsid w:val="00844534"/>
    <w:rsid w:val="008453EF"/>
    <w:rsid w:val="00845F0D"/>
    <w:rsid w:val="00846916"/>
    <w:rsid w:val="00846A3E"/>
    <w:rsid w:val="00850577"/>
    <w:rsid w:val="00851B05"/>
    <w:rsid w:val="00851CE6"/>
    <w:rsid w:val="008521F3"/>
    <w:rsid w:val="00852500"/>
    <w:rsid w:val="008533F1"/>
    <w:rsid w:val="00853CA7"/>
    <w:rsid w:val="0085536E"/>
    <w:rsid w:val="00855A09"/>
    <w:rsid w:val="00855D96"/>
    <w:rsid w:val="00857408"/>
    <w:rsid w:val="008611B2"/>
    <w:rsid w:val="00862263"/>
    <w:rsid w:val="008625F6"/>
    <w:rsid w:val="00862A25"/>
    <w:rsid w:val="00862D1F"/>
    <w:rsid w:val="00864F1F"/>
    <w:rsid w:val="008657E2"/>
    <w:rsid w:val="008671B6"/>
    <w:rsid w:val="008678F6"/>
    <w:rsid w:val="00870DA0"/>
    <w:rsid w:val="008716DD"/>
    <w:rsid w:val="00871734"/>
    <w:rsid w:val="00871EE1"/>
    <w:rsid w:val="008735CA"/>
    <w:rsid w:val="008742A6"/>
    <w:rsid w:val="008743E8"/>
    <w:rsid w:val="00875ADA"/>
    <w:rsid w:val="00876472"/>
    <w:rsid w:val="00881C80"/>
    <w:rsid w:val="0088325C"/>
    <w:rsid w:val="00884424"/>
    <w:rsid w:val="00884BB8"/>
    <w:rsid w:val="00885057"/>
    <w:rsid w:val="00885CF5"/>
    <w:rsid w:val="00886750"/>
    <w:rsid w:val="00887479"/>
    <w:rsid w:val="00887680"/>
    <w:rsid w:val="008901EC"/>
    <w:rsid w:val="00890A78"/>
    <w:rsid w:val="00891004"/>
    <w:rsid w:val="008913AF"/>
    <w:rsid w:val="0089241F"/>
    <w:rsid w:val="00892E29"/>
    <w:rsid w:val="0089356D"/>
    <w:rsid w:val="008938C4"/>
    <w:rsid w:val="00893D2F"/>
    <w:rsid w:val="00894A73"/>
    <w:rsid w:val="00895B21"/>
    <w:rsid w:val="00896CEA"/>
    <w:rsid w:val="00896D2C"/>
    <w:rsid w:val="008A22C8"/>
    <w:rsid w:val="008A3084"/>
    <w:rsid w:val="008A3987"/>
    <w:rsid w:val="008A51F4"/>
    <w:rsid w:val="008A5E4F"/>
    <w:rsid w:val="008B1464"/>
    <w:rsid w:val="008B3A92"/>
    <w:rsid w:val="008B3FDA"/>
    <w:rsid w:val="008B663E"/>
    <w:rsid w:val="008B7F18"/>
    <w:rsid w:val="008C2F75"/>
    <w:rsid w:val="008C55EB"/>
    <w:rsid w:val="008C760A"/>
    <w:rsid w:val="008C7F78"/>
    <w:rsid w:val="008D07BD"/>
    <w:rsid w:val="008D0929"/>
    <w:rsid w:val="008D0AB2"/>
    <w:rsid w:val="008D10B2"/>
    <w:rsid w:val="008D26D6"/>
    <w:rsid w:val="008D294C"/>
    <w:rsid w:val="008D38C5"/>
    <w:rsid w:val="008D3CE7"/>
    <w:rsid w:val="008D4024"/>
    <w:rsid w:val="008D56ED"/>
    <w:rsid w:val="008D5959"/>
    <w:rsid w:val="008D6176"/>
    <w:rsid w:val="008E057C"/>
    <w:rsid w:val="008E06AC"/>
    <w:rsid w:val="008E1DEF"/>
    <w:rsid w:val="008E20AF"/>
    <w:rsid w:val="008E2101"/>
    <w:rsid w:val="008E28BE"/>
    <w:rsid w:val="008E2DEA"/>
    <w:rsid w:val="008E47E3"/>
    <w:rsid w:val="008E5568"/>
    <w:rsid w:val="008E6036"/>
    <w:rsid w:val="008E68AC"/>
    <w:rsid w:val="008E698B"/>
    <w:rsid w:val="008E6C30"/>
    <w:rsid w:val="008E7241"/>
    <w:rsid w:val="008F3521"/>
    <w:rsid w:val="008F397E"/>
    <w:rsid w:val="008F54EE"/>
    <w:rsid w:val="008F58BB"/>
    <w:rsid w:val="008F5EF6"/>
    <w:rsid w:val="008F6872"/>
    <w:rsid w:val="00900F83"/>
    <w:rsid w:val="0090251D"/>
    <w:rsid w:val="00902F92"/>
    <w:rsid w:val="00903358"/>
    <w:rsid w:val="00903D83"/>
    <w:rsid w:val="00906D4A"/>
    <w:rsid w:val="00906EA7"/>
    <w:rsid w:val="00907082"/>
    <w:rsid w:val="00907A82"/>
    <w:rsid w:val="00910965"/>
    <w:rsid w:val="009130DE"/>
    <w:rsid w:val="009135EF"/>
    <w:rsid w:val="009142DB"/>
    <w:rsid w:val="0091587C"/>
    <w:rsid w:val="00916407"/>
    <w:rsid w:val="009174C6"/>
    <w:rsid w:val="00917816"/>
    <w:rsid w:val="009210E2"/>
    <w:rsid w:val="009212A5"/>
    <w:rsid w:val="00921B02"/>
    <w:rsid w:val="009227AB"/>
    <w:rsid w:val="00922B8C"/>
    <w:rsid w:val="00922CAE"/>
    <w:rsid w:val="00923F7C"/>
    <w:rsid w:val="0092515D"/>
    <w:rsid w:val="009256B1"/>
    <w:rsid w:val="00925FD4"/>
    <w:rsid w:val="0092661F"/>
    <w:rsid w:val="009310BE"/>
    <w:rsid w:val="00932333"/>
    <w:rsid w:val="00932607"/>
    <w:rsid w:val="00932FB1"/>
    <w:rsid w:val="00933003"/>
    <w:rsid w:val="00933F26"/>
    <w:rsid w:val="009371E7"/>
    <w:rsid w:val="009416B6"/>
    <w:rsid w:val="00941D70"/>
    <w:rsid w:val="009431E9"/>
    <w:rsid w:val="00943804"/>
    <w:rsid w:val="00943DB9"/>
    <w:rsid w:val="00944619"/>
    <w:rsid w:val="00944847"/>
    <w:rsid w:val="009452B7"/>
    <w:rsid w:val="00945DDD"/>
    <w:rsid w:val="00946B2F"/>
    <w:rsid w:val="009472D0"/>
    <w:rsid w:val="00950484"/>
    <w:rsid w:val="00950A79"/>
    <w:rsid w:val="00950D2A"/>
    <w:rsid w:val="00954DBE"/>
    <w:rsid w:val="0095586B"/>
    <w:rsid w:val="009561D0"/>
    <w:rsid w:val="00956358"/>
    <w:rsid w:val="0095689E"/>
    <w:rsid w:val="00956BA3"/>
    <w:rsid w:val="00956F7B"/>
    <w:rsid w:val="009572EE"/>
    <w:rsid w:val="0095760E"/>
    <w:rsid w:val="009577C4"/>
    <w:rsid w:val="00960330"/>
    <w:rsid w:val="0096050D"/>
    <w:rsid w:val="00961405"/>
    <w:rsid w:val="00961648"/>
    <w:rsid w:val="009616E3"/>
    <w:rsid w:val="0096180C"/>
    <w:rsid w:val="00961DFD"/>
    <w:rsid w:val="009620D0"/>
    <w:rsid w:val="00962785"/>
    <w:rsid w:val="00962B40"/>
    <w:rsid w:val="0096471B"/>
    <w:rsid w:val="00965F28"/>
    <w:rsid w:val="00966F70"/>
    <w:rsid w:val="00967047"/>
    <w:rsid w:val="0096738E"/>
    <w:rsid w:val="00967DC1"/>
    <w:rsid w:val="009708EF"/>
    <w:rsid w:val="00971629"/>
    <w:rsid w:val="0097336F"/>
    <w:rsid w:val="0097351A"/>
    <w:rsid w:val="009746A8"/>
    <w:rsid w:val="00974CFA"/>
    <w:rsid w:val="00975F84"/>
    <w:rsid w:val="0097635B"/>
    <w:rsid w:val="00976E88"/>
    <w:rsid w:val="009776D7"/>
    <w:rsid w:val="0097794A"/>
    <w:rsid w:val="009806E2"/>
    <w:rsid w:val="00982031"/>
    <w:rsid w:val="0098206F"/>
    <w:rsid w:val="0098214D"/>
    <w:rsid w:val="009829F3"/>
    <w:rsid w:val="00982A6F"/>
    <w:rsid w:val="00983006"/>
    <w:rsid w:val="0098350D"/>
    <w:rsid w:val="009850B6"/>
    <w:rsid w:val="009851C1"/>
    <w:rsid w:val="009852E5"/>
    <w:rsid w:val="00985777"/>
    <w:rsid w:val="009859D6"/>
    <w:rsid w:val="00985B99"/>
    <w:rsid w:val="00985E22"/>
    <w:rsid w:val="0098616C"/>
    <w:rsid w:val="00990220"/>
    <w:rsid w:val="0099389E"/>
    <w:rsid w:val="00994220"/>
    <w:rsid w:val="00997039"/>
    <w:rsid w:val="00997363"/>
    <w:rsid w:val="009A1D55"/>
    <w:rsid w:val="009A3C74"/>
    <w:rsid w:val="009A690B"/>
    <w:rsid w:val="009A6A97"/>
    <w:rsid w:val="009A6C17"/>
    <w:rsid w:val="009A7295"/>
    <w:rsid w:val="009A758A"/>
    <w:rsid w:val="009B0379"/>
    <w:rsid w:val="009B0507"/>
    <w:rsid w:val="009B05A7"/>
    <w:rsid w:val="009B0F5A"/>
    <w:rsid w:val="009B139C"/>
    <w:rsid w:val="009B168B"/>
    <w:rsid w:val="009B1A00"/>
    <w:rsid w:val="009B2942"/>
    <w:rsid w:val="009B295E"/>
    <w:rsid w:val="009B30EF"/>
    <w:rsid w:val="009B3667"/>
    <w:rsid w:val="009B454C"/>
    <w:rsid w:val="009B72D9"/>
    <w:rsid w:val="009B7821"/>
    <w:rsid w:val="009C1FDB"/>
    <w:rsid w:val="009C2869"/>
    <w:rsid w:val="009C313F"/>
    <w:rsid w:val="009C3A05"/>
    <w:rsid w:val="009C45CA"/>
    <w:rsid w:val="009C6282"/>
    <w:rsid w:val="009C69BD"/>
    <w:rsid w:val="009D05D5"/>
    <w:rsid w:val="009D15CE"/>
    <w:rsid w:val="009D29CE"/>
    <w:rsid w:val="009D2BAC"/>
    <w:rsid w:val="009D385E"/>
    <w:rsid w:val="009D42DC"/>
    <w:rsid w:val="009D716B"/>
    <w:rsid w:val="009D7E5A"/>
    <w:rsid w:val="009E049C"/>
    <w:rsid w:val="009E050C"/>
    <w:rsid w:val="009E08AF"/>
    <w:rsid w:val="009E12A4"/>
    <w:rsid w:val="009E1417"/>
    <w:rsid w:val="009E21C8"/>
    <w:rsid w:val="009E3A70"/>
    <w:rsid w:val="009E47B0"/>
    <w:rsid w:val="009E5896"/>
    <w:rsid w:val="009E69CC"/>
    <w:rsid w:val="009E7C72"/>
    <w:rsid w:val="009E7C91"/>
    <w:rsid w:val="009F00FE"/>
    <w:rsid w:val="009F0862"/>
    <w:rsid w:val="009F18B9"/>
    <w:rsid w:val="009F1D86"/>
    <w:rsid w:val="009F2C0C"/>
    <w:rsid w:val="009F376E"/>
    <w:rsid w:val="009F44C1"/>
    <w:rsid w:val="009F4BD7"/>
    <w:rsid w:val="009F597D"/>
    <w:rsid w:val="009F68BA"/>
    <w:rsid w:val="009F6BDB"/>
    <w:rsid w:val="009F797D"/>
    <w:rsid w:val="009F7D41"/>
    <w:rsid w:val="00A01ACA"/>
    <w:rsid w:val="00A025F9"/>
    <w:rsid w:val="00A03104"/>
    <w:rsid w:val="00A0322F"/>
    <w:rsid w:val="00A0608D"/>
    <w:rsid w:val="00A06E4C"/>
    <w:rsid w:val="00A06EDA"/>
    <w:rsid w:val="00A10DD6"/>
    <w:rsid w:val="00A11796"/>
    <w:rsid w:val="00A11D5F"/>
    <w:rsid w:val="00A1235F"/>
    <w:rsid w:val="00A13014"/>
    <w:rsid w:val="00A13846"/>
    <w:rsid w:val="00A13D18"/>
    <w:rsid w:val="00A13DAD"/>
    <w:rsid w:val="00A157DB"/>
    <w:rsid w:val="00A16304"/>
    <w:rsid w:val="00A16F0A"/>
    <w:rsid w:val="00A207AE"/>
    <w:rsid w:val="00A23B5C"/>
    <w:rsid w:val="00A23EC0"/>
    <w:rsid w:val="00A24F01"/>
    <w:rsid w:val="00A25928"/>
    <w:rsid w:val="00A25994"/>
    <w:rsid w:val="00A26AC3"/>
    <w:rsid w:val="00A270B4"/>
    <w:rsid w:val="00A300E4"/>
    <w:rsid w:val="00A32085"/>
    <w:rsid w:val="00A32C40"/>
    <w:rsid w:val="00A32E0D"/>
    <w:rsid w:val="00A3360A"/>
    <w:rsid w:val="00A33967"/>
    <w:rsid w:val="00A340FE"/>
    <w:rsid w:val="00A3419B"/>
    <w:rsid w:val="00A345BA"/>
    <w:rsid w:val="00A3470B"/>
    <w:rsid w:val="00A354A9"/>
    <w:rsid w:val="00A35BA7"/>
    <w:rsid w:val="00A35F4D"/>
    <w:rsid w:val="00A36138"/>
    <w:rsid w:val="00A3797B"/>
    <w:rsid w:val="00A406A7"/>
    <w:rsid w:val="00A414DA"/>
    <w:rsid w:val="00A420FA"/>
    <w:rsid w:val="00A425F5"/>
    <w:rsid w:val="00A42E7F"/>
    <w:rsid w:val="00A45B35"/>
    <w:rsid w:val="00A45D1F"/>
    <w:rsid w:val="00A4687A"/>
    <w:rsid w:val="00A46EEA"/>
    <w:rsid w:val="00A471DF"/>
    <w:rsid w:val="00A47FF2"/>
    <w:rsid w:val="00A5176A"/>
    <w:rsid w:val="00A5213F"/>
    <w:rsid w:val="00A52DDE"/>
    <w:rsid w:val="00A5416F"/>
    <w:rsid w:val="00A561B6"/>
    <w:rsid w:val="00A566A9"/>
    <w:rsid w:val="00A60128"/>
    <w:rsid w:val="00A606AF"/>
    <w:rsid w:val="00A614D6"/>
    <w:rsid w:val="00A62CAC"/>
    <w:rsid w:val="00A64237"/>
    <w:rsid w:val="00A648B9"/>
    <w:rsid w:val="00A65015"/>
    <w:rsid w:val="00A65912"/>
    <w:rsid w:val="00A65A24"/>
    <w:rsid w:val="00A65AE3"/>
    <w:rsid w:val="00A66733"/>
    <w:rsid w:val="00A667BD"/>
    <w:rsid w:val="00A66FB1"/>
    <w:rsid w:val="00A672C2"/>
    <w:rsid w:val="00A6743D"/>
    <w:rsid w:val="00A71641"/>
    <w:rsid w:val="00A7197B"/>
    <w:rsid w:val="00A71AD3"/>
    <w:rsid w:val="00A71CB8"/>
    <w:rsid w:val="00A724D0"/>
    <w:rsid w:val="00A729EB"/>
    <w:rsid w:val="00A72AC9"/>
    <w:rsid w:val="00A74789"/>
    <w:rsid w:val="00A7544F"/>
    <w:rsid w:val="00A7549F"/>
    <w:rsid w:val="00A75824"/>
    <w:rsid w:val="00A7738A"/>
    <w:rsid w:val="00A800D5"/>
    <w:rsid w:val="00A8373B"/>
    <w:rsid w:val="00A83F7D"/>
    <w:rsid w:val="00A84CAF"/>
    <w:rsid w:val="00A85279"/>
    <w:rsid w:val="00A85437"/>
    <w:rsid w:val="00A86B81"/>
    <w:rsid w:val="00A87340"/>
    <w:rsid w:val="00A878CF"/>
    <w:rsid w:val="00A907E6"/>
    <w:rsid w:val="00A910B3"/>
    <w:rsid w:val="00A92857"/>
    <w:rsid w:val="00A92DE4"/>
    <w:rsid w:val="00A94028"/>
    <w:rsid w:val="00A9645F"/>
    <w:rsid w:val="00A97816"/>
    <w:rsid w:val="00AA1A00"/>
    <w:rsid w:val="00AA29A7"/>
    <w:rsid w:val="00AA2D1A"/>
    <w:rsid w:val="00AA2FFB"/>
    <w:rsid w:val="00AA4661"/>
    <w:rsid w:val="00AA532E"/>
    <w:rsid w:val="00AA6EF5"/>
    <w:rsid w:val="00AA72D8"/>
    <w:rsid w:val="00AA7B4F"/>
    <w:rsid w:val="00AA7F8A"/>
    <w:rsid w:val="00AB0496"/>
    <w:rsid w:val="00AB3E58"/>
    <w:rsid w:val="00AB4B99"/>
    <w:rsid w:val="00AB4C7D"/>
    <w:rsid w:val="00AB50B2"/>
    <w:rsid w:val="00AB69B8"/>
    <w:rsid w:val="00AB69EF"/>
    <w:rsid w:val="00AB7098"/>
    <w:rsid w:val="00AC410F"/>
    <w:rsid w:val="00AC4235"/>
    <w:rsid w:val="00AC538C"/>
    <w:rsid w:val="00AC68B7"/>
    <w:rsid w:val="00AD0294"/>
    <w:rsid w:val="00AD0590"/>
    <w:rsid w:val="00AD1C1B"/>
    <w:rsid w:val="00AD3495"/>
    <w:rsid w:val="00AD41AF"/>
    <w:rsid w:val="00AD522F"/>
    <w:rsid w:val="00AD5BD0"/>
    <w:rsid w:val="00AD68B5"/>
    <w:rsid w:val="00AE1A4A"/>
    <w:rsid w:val="00AE1C2D"/>
    <w:rsid w:val="00AE2175"/>
    <w:rsid w:val="00AE2C32"/>
    <w:rsid w:val="00AE3B5A"/>
    <w:rsid w:val="00AE5183"/>
    <w:rsid w:val="00AE5673"/>
    <w:rsid w:val="00AE601A"/>
    <w:rsid w:val="00AE656D"/>
    <w:rsid w:val="00AF1EB4"/>
    <w:rsid w:val="00AF24B6"/>
    <w:rsid w:val="00AF28B9"/>
    <w:rsid w:val="00AF37D2"/>
    <w:rsid w:val="00AF4D6C"/>
    <w:rsid w:val="00AF5361"/>
    <w:rsid w:val="00AF55D9"/>
    <w:rsid w:val="00AF5616"/>
    <w:rsid w:val="00AF5FFD"/>
    <w:rsid w:val="00AF6AA3"/>
    <w:rsid w:val="00B0009B"/>
    <w:rsid w:val="00B005F9"/>
    <w:rsid w:val="00B00DD1"/>
    <w:rsid w:val="00B02A09"/>
    <w:rsid w:val="00B02B87"/>
    <w:rsid w:val="00B02C7C"/>
    <w:rsid w:val="00B04CEC"/>
    <w:rsid w:val="00B100C2"/>
    <w:rsid w:val="00B11292"/>
    <w:rsid w:val="00B112CA"/>
    <w:rsid w:val="00B11861"/>
    <w:rsid w:val="00B11909"/>
    <w:rsid w:val="00B1312F"/>
    <w:rsid w:val="00B1364B"/>
    <w:rsid w:val="00B14175"/>
    <w:rsid w:val="00B15132"/>
    <w:rsid w:val="00B15298"/>
    <w:rsid w:val="00B163D9"/>
    <w:rsid w:val="00B16DED"/>
    <w:rsid w:val="00B17EC7"/>
    <w:rsid w:val="00B17ECF"/>
    <w:rsid w:val="00B20A6A"/>
    <w:rsid w:val="00B219F3"/>
    <w:rsid w:val="00B21F80"/>
    <w:rsid w:val="00B250E1"/>
    <w:rsid w:val="00B261D8"/>
    <w:rsid w:val="00B26EED"/>
    <w:rsid w:val="00B26F6F"/>
    <w:rsid w:val="00B27688"/>
    <w:rsid w:val="00B27B3A"/>
    <w:rsid w:val="00B27D96"/>
    <w:rsid w:val="00B30393"/>
    <w:rsid w:val="00B30626"/>
    <w:rsid w:val="00B30C64"/>
    <w:rsid w:val="00B310FE"/>
    <w:rsid w:val="00B3184A"/>
    <w:rsid w:val="00B3399D"/>
    <w:rsid w:val="00B345DF"/>
    <w:rsid w:val="00B34F39"/>
    <w:rsid w:val="00B350C5"/>
    <w:rsid w:val="00B358DF"/>
    <w:rsid w:val="00B35B6C"/>
    <w:rsid w:val="00B36427"/>
    <w:rsid w:val="00B3679C"/>
    <w:rsid w:val="00B376FA"/>
    <w:rsid w:val="00B37C53"/>
    <w:rsid w:val="00B37E7F"/>
    <w:rsid w:val="00B37F74"/>
    <w:rsid w:val="00B40BF8"/>
    <w:rsid w:val="00B40D37"/>
    <w:rsid w:val="00B41A60"/>
    <w:rsid w:val="00B4342F"/>
    <w:rsid w:val="00B43F9A"/>
    <w:rsid w:val="00B4406D"/>
    <w:rsid w:val="00B4419E"/>
    <w:rsid w:val="00B44420"/>
    <w:rsid w:val="00B44474"/>
    <w:rsid w:val="00B45A80"/>
    <w:rsid w:val="00B46948"/>
    <w:rsid w:val="00B46C35"/>
    <w:rsid w:val="00B46FC5"/>
    <w:rsid w:val="00B47159"/>
    <w:rsid w:val="00B50483"/>
    <w:rsid w:val="00B51353"/>
    <w:rsid w:val="00B517DF"/>
    <w:rsid w:val="00B51D24"/>
    <w:rsid w:val="00B527A3"/>
    <w:rsid w:val="00B52AFA"/>
    <w:rsid w:val="00B53A9A"/>
    <w:rsid w:val="00B53E97"/>
    <w:rsid w:val="00B54B16"/>
    <w:rsid w:val="00B54C49"/>
    <w:rsid w:val="00B5590B"/>
    <w:rsid w:val="00B56145"/>
    <w:rsid w:val="00B57636"/>
    <w:rsid w:val="00B6009B"/>
    <w:rsid w:val="00B605E1"/>
    <w:rsid w:val="00B6094D"/>
    <w:rsid w:val="00B62042"/>
    <w:rsid w:val="00B626FE"/>
    <w:rsid w:val="00B62A96"/>
    <w:rsid w:val="00B64BEC"/>
    <w:rsid w:val="00B652B1"/>
    <w:rsid w:val="00B65318"/>
    <w:rsid w:val="00B65B0C"/>
    <w:rsid w:val="00B65F71"/>
    <w:rsid w:val="00B6794D"/>
    <w:rsid w:val="00B67F1D"/>
    <w:rsid w:val="00B70251"/>
    <w:rsid w:val="00B703B1"/>
    <w:rsid w:val="00B70442"/>
    <w:rsid w:val="00B709CA"/>
    <w:rsid w:val="00B713E7"/>
    <w:rsid w:val="00B71882"/>
    <w:rsid w:val="00B74351"/>
    <w:rsid w:val="00B74534"/>
    <w:rsid w:val="00B7462E"/>
    <w:rsid w:val="00B74DBE"/>
    <w:rsid w:val="00B80812"/>
    <w:rsid w:val="00B80F79"/>
    <w:rsid w:val="00B813EF"/>
    <w:rsid w:val="00B8206F"/>
    <w:rsid w:val="00B82DDA"/>
    <w:rsid w:val="00B83BAD"/>
    <w:rsid w:val="00B8668F"/>
    <w:rsid w:val="00B86D20"/>
    <w:rsid w:val="00B872BC"/>
    <w:rsid w:val="00B877C2"/>
    <w:rsid w:val="00B87828"/>
    <w:rsid w:val="00B9078D"/>
    <w:rsid w:val="00B91CF2"/>
    <w:rsid w:val="00B928C4"/>
    <w:rsid w:val="00B92DC8"/>
    <w:rsid w:val="00B94A03"/>
    <w:rsid w:val="00B95910"/>
    <w:rsid w:val="00B95AA5"/>
    <w:rsid w:val="00B95E5B"/>
    <w:rsid w:val="00B970C4"/>
    <w:rsid w:val="00B975A4"/>
    <w:rsid w:val="00BA1946"/>
    <w:rsid w:val="00BA298A"/>
    <w:rsid w:val="00BA2B56"/>
    <w:rsid w:val="00BA314F"/>
    <w:rsid w:val="00BA360B"/>
    <w:rsid w:val="00BA433A"/>
    <w:rsid w:val="00BA46D2"/>
    <w:rsid w:val="00BA6298"/>
    <w:rsid w:val="00BA7FD8"/>
    <w:rsid w:val="00BB043D"/>
    <w:rsid w:val="00BB119B"/>
    <w:rsid w:val="00BB120C"/>
    <w:rsid w:val="00BB1E76"/>
    <w:rsid w:val="00BB321F"/>
    <w:rsid w:val="00BB36E5"/>
    <w:rsid w:val="00BB3834"/>
    <w:rsid w:val="00BB437B"/>
    <w:rsid w:val="00BB5481"/>
    <w:rsid w:val="00BB691E"/>
    <w:rsid w:val="00BC24EC"/>
    <w:rsid w:val="00BC34A1"/>
    <w:rsid w:val="00BC6576"/>
    <w:rsid w:val="00BC7296"/>
    <w:rsid w:val="00BC7332"/>
    <w:rsid w:val="00BC7438"/>
    <w:rsid w:val="00BC7E50"/>
    <w:rsid w:val="00BC7EEF"/>
    <w:rsid w:val="00BD02AE"/>
    <w:rsid w:val="00BD1450"/>
    <w:rsid w:val="00BD29CB"/>
    <w:rsid w:val="00BD48BF"/>
    <w:rsid w:val="00BD5A5F"/>
    <w:rsid w:val="00BE030E"/>
    <w:rsid w:val="00BE0630"/>
    <w:rsid w:val="00BE124D"/>
    <w:rsid w:val="00BE1919"/>
    <w:rsid w:val="00BE1CF0"/>
    <w:rsid w:val="00BE2BB6"/>
    <w:rsid w:val="00BE4470"/>
    <w:rsid w:val="00BE4822"/>
    <w:rsid w:val="00BE55C5"/>
    <w:rsid w:val="00BE5F59"/>
    <w:rsid w:val="00BE616E"/>
    <w:rsid w:val="00BE696D"/>
    <w:rsid w:val="00BF0F64"/>
    <w:rsid w:val="00BF2EA8"/>
    <w:rsid w:val="00BF3120"/>
    <w:rsid w:val="00BF3C65"/>
    <w:rsid w:val="00BF43E4"/>
    <w:rsid w:val="00BF5CBF"/>
    <w:rsid w:val="00BF7C32"/>
    <w:rsid w:val="00C0068D"/>
    <w:rsid w:val="00C00A30"/>
    <w:rsid w:val="00C012EC"/>
    <w:rsid w:val="00C030F1"/>
    <w:rsid w:val="00C04B4F"/>
    <w:rsid w:val="00C05693"/>
    <w:rsid w:val="00C06012"/>
    <w:rsid w:val="00C06431"/>
    <w:rsid w:val="00C06CCC"/>
    <w:rsid w:val="00C06F15"/>
    <w:rsid w:val="00C07064"/>
    <w:rsid w:val="00C1072C"/>
    <w:rsid w:val="00C108F8"/>
    <w:rsid w:val="00C10A60"/>
    <w:rsid w:val="00C12706"/>
    <w:rsid w:val="00C128FC"/>
    <w:rsid w:val="00C13DF6"/>
    <w:rsid w:val="00C1607F"/>
    <w:rsid w:val="00C171BF"/>
    <w:rsid w:val="00C174DB"/>
    <w:rsid w:val="00C201B8"/>
    <w:rsid w:val="00C20775"/>
    <w:rsid w:val="00C20B4F"/>
    <w:rsid w:val="00C20F1C"/>
    <w:rsid w:val="00C21495"/>
    <w:rsid w:val="00C217D0"/>
    <w:rsid w:val="00C21CC3"/>
    <w:rsid w:val="00C22973"/>
    <w:rsid w:val="00C2366B"/>
    <w:rsid w:val="00C25CDE"/>
    <w:rsid w:val="00C260BB"/>
    <w:rsid w:val="00C2666D"/>
    <w:rsid w:val="00C266A6"/>
    <w:rsid w:val="00C2673E"/>
    <w:rsid w:val="00C32575"/>
    <w:rsid w:val="00C32729"/>
    <w:rsid w:val="00C33382"/>
    <w:rsid w:val="00C33A0D"/>
    <w:rsid w:val="00C36C2C"/>
    <w:rsid w:val="00C3773A"/>
    <w:rsid w:val="00C37B48"/>
    <w:rsid w:val="00C37E1C"/>
    <w:rsid w:val="00C4027E"/>
    <w:rsid w:val="00C406F6"/>
    <w:rsid w:val="00C40A81"/>
    <w:rsid w:val="00C41CCE"/>
    <w:rsid w:val="00C431E0"/>
    <w:rsid w:val="00C4466C"/>
    <w:rsid w:val="00C44AA7"/>
    <w:rsid w:val="00C4527C"/>
    <w:rsid w:val="00C46259"/>
    <w:rsid w:val="00C466FE"/>
    <w:rsid w:val="00C46797"/>
    <w:rsid w:val="00C5125F"/>
    <w:rsid w:val="00C53113"/>
    <w:rsid w:val="00C53F9B"/>
    <w:rsid w:val="00C54966"/>
    <w:rsid w:val="00C5562F"/>
    <w:rsid w:val="00C55722"/>
    <w:rsid w:val="00C57A2C"/>
    <w:rsid w:val="00C606E0"/>
    <w:rsid w:val="00C61383"/>
    <w:rsid w:val="00C6181E"/>
    <w:rsid w:val="00C62962"/>
    <w:rsid w:val="00C63796"/>
    <w:rsid w:val="00C638B9"/>
    <w:rsid w:val="00C63F34"/>
    <w:rsid w:val="00C64338"/>
    <w:rsid w:val="00C645C3"/>
    <w:rsid w:val="00C64D41"/>
    <w:rsid w:val="00C65871"/>
    <w:rsid w:val="00C6593A"/>
    <w:rsid w:val="00C709B6"/>
    <w:rsid w:val="00C70BBB"/>
    <w:rsid w:val="00C70E45"/>
    <w:rsid w:val="00C719E0"/>
    <w:rsid w:val="00C75F37"/>
    <w:rsid w:val="00C80A82"/>
    <w:rsid w:val="00C80E65"/>
    <w:rsid w:val="00C82A1C"/>
    <w:rsid w:val="00C8304B"/>
    <w:rsid w:val="00C8313C"/>
    <w:rsid w:val="00C83422"/>
    <w:rsid w:val="00C835A9"/>
    <w:rsid w:val="00C83A4F"/>
    <w:rsid w:val="00C83AEA"/>
    <w:rsid w:val="00C84D91"/>
    <w:rsid w:val="00C851AA"/>
    <w:rsid w:val="00C86863"/>
    <w:rsid w:val="00C91788"/>
    <w:rsid w:val="00C94AD3"/>
    <w:rsid w:val="00C94BD7"/>
    <w:rsid w:val="00C960D5"/>
    <w:rsid w:val="00C961C6"/>
    <w:rsid w:val="00C964D7"/>
    <w:rsid w:val="00C96ECB"/>
    <w:rsid w:val="00C97A5D"/>
    <w:rsid w:val="00CA2B55"/>
    <w:rsid w:val="00CA32DD"/>
    <w:rsid w:val="00CA4450"/>
    <w:rsid w:val="00CA60AB"/>
    <w:rsid w:val="00CA7532"/>
    <w:rsid w:val="00CB0F6B"/>
    <w:rsid w:val="00CB1018"/>
    <w:rsid w:val="00CB1B9D"/>
    <w:rsid w:val="00CB2578"/>
    <w:rsid w:val="00CB367A"/>
    <w:rsid w:val="00CB4CAA"/>
    <w:rsid w:val="00CB616C"/>
    <w:rsid w:val="00CB7CFA"/>
    <w:rsid w:val="00CC1A2D"/>
    <w:rsid w:val="00CC235C"/>
    <w:rsid w:val="00CC2D8F"/>
    <w:rsid w:val="00CC3186"/>
    <w:rsid w:val="00CC3CF3"/>
    <w:rsid w:val="00CC4082"/>
    <w:rsid w:val="00CC5F5B"/>
    <w:rsid w:val="00CC6695"/>
    <w:rsid w:val="00CC69BA"/>
    <w:rsid w:val="00CC6C95"/>
    <w:rsid w:val="00CC6DC1"/>
    <w:rsid w:val="00CD1D08"/>
    <w:rsid w:val="00CD309E"/>
    <w:rsid w:val="00CD3F00"/>
    <w:rsid w:val="00CD60D2"/>
    <w:rsid w:val="00CD73CE"/>
    <w:rsid w:val="00CD7491"/>
    <w:rsid w:val="00CD7A4E"/>
    <w:rsid w:val="00CE062D"/>
    <w:rsid w:val="00CE0A1F"/>
    <w:rsid w:val="00CE2214"/>
    <w:rsid w:val="00CE2AC7"/>
    <w:rsid w:val="00CE458B"/>
    <w:rsid w:val="00CE59DE"/>
    <w:rsid w:val="00CE5E1E"/>
    <w:rsid w:val="00CE615A"/>
    <w:rsid w:val="00CE7A08"/>
    <w:rsid w:val="00CE7D81"/>
    <w:rsid w:val="00CF0D39"/>
    <w:rsid w:val="00CF18B2"/>
    <w:rsid w:val="00CF4134"/>
    <w:rsid w:val="00CF5A5D"/>
    <w:rsid w:val="00CF6F22"/>
    <w:rsid w:val="00CF73A2"/>
    <w:rsid w:val="00D00EA3"/>
    <w:rsid w:val="00D00F12"/>
    <w:rsid w:val="00D04043"/>
    <w:rsid w:val="00D049F1"/>
    <w:rsid w:val="00D05075"/>
    <w:rsid w:val="00D0549D"/>
    <w:rsid w:val="00D05520"/>
    <w:rsid w:val="00D0573C"/>
    <w:rsid w:val="00D061A4"/>
    <w:rsid w:val="00D11405"/>
    <w:rsid w:val="00D11778"/>
    <w:rsid w:val="00D11C66"/>
    <w:rsid w:val="00D12EBD"/>
    <w:rsid w:val="00D13393"/>
    <w:rsid w:val="00D13AD6"/>
    <w:rsid w:val="00D14320"/>
    <w:rsid w:val="00D14C78"/>
    <w:rsid w:val="00D15F53"/>
    <w:rsid w:val="00D17BF0"/>
    <w:rsid w:val="00D20409"/>
    <w:rsid w:val="00D20832"/>
    <w:rsid w:val="00D212CF"/>
    <w:rsid w:val="00D219D3"/>
    <w:rsid w:val="00D2305F"/>
    <w:rsid w:val="00D2473D"/>
    <w:rsid w:val="00D25830"/>
    <w:rsid w:val="00D26AC4"/>
    <w:rsid w:val="00D2717E"/>
    <w:rsid w:val="00D310D6"/>
    <w:rsid w:val="00D31A76"/>
    <w:rsid w:val="00D31F99"/>
    <w:rsid w:val="00D31FF1"/>
    <w:rsid w:val="00D32475"/>
    <w:rsid w:val="00D3282B"/>
    <w:rsid w:val="00D33738"/>
    <w:rsid w:val="00D33E4A"/>
    <w:rsid w:val="00D34BB4"/>
    <w:rsid w:val="00D35361"/>
    <w:rsid w:val="00D355AB"/>
    <w:rsid w:val="00D360F2"/>
    <w:rsid w:val="00D361A2"/>
    <w:rsid w:val="00D36CE9"/>
    <w:rsid w:val="00D36EEC"/>
    <w:rsid w:val="00D37188"/>
    <w:rsid w:val="00D374E2"/>
    <w:rsid w:val="00D409CC"/>
    <w:rsid w:val="00D44D33"/>
    <w:rsid w:val="00D45321"/>
    <w:rsid w:val="00D472DE"/>
    <w:rsid w:val="00D51121"/>
    <w:rsid w:val="00D52606"/>
    <w:rsid w:val="00D545DA"/>
    <w:rsid w:val="00D54E8F"/>
    <w:rsid w:val="00D562DD"/>
    <w:rsid w:val="00D566E1"/>
    <w:rsid w:val="00D56CA4"/>
    <w:rsid w:val="00D62F53"/>
    <w:rsid w:val="00D63129"/>
    <w:rsid w:val="00D63302"/>
    <w:rsid w:val="00D63743"/>
    <w:rsid w:val="00D654C9"/>
    <w:rsid w:val="00D676EA"/>
    <w:rsid w:val="00D70708"/>
    <w:rsid w:val="00D722C8"/>
    <w:rsid w:val="00D72AE7"/>
    <w:rsid w:val="00D73DFD"/>
    <w:rsid w:val="00D73FF6"/>
    <w:rsid w:val="00D762EA"/>
    <w:rsid w:val="00D763D1"/>
    <w:rsid w:val="00D77604"/>
    <w:rsid w:val="00D776A9"/>
    <w:rsid w:val="00D806CA"/>
    <w:rsid w:val="00D81D7F"/>
    <w:rsid w:val="00D81E16"/>
    <w:rsid w:val="00D8243E"/>
    <w:rsid w:val="00D82959"/>
    <w:rsid w:val="00D8306D"/>
    <w:rsid w:val="00D84DF5"/>
    <w:rsid w:val="00D85539"/>
    <w:rsid w:val="00D85B0C"/>
    <w:rsid w:val="00D86737"/>
    <w:rsid w:val="00D87EC6"/>
    <w:rsid w:val="00D87FF3"/>
    <w:rsid w:val="00D915A2"/>
    <w:rsid w:val="00D921B1"/>
    <w:rsid w:val="00D92245"/>
    <w:rsid w:val="00D939B9"/>
    <w:rsid w:val="00D93D42"/>
    <w:rsid w:val="00D953ED"/>
    <w:rsid w:val="00D95A12"/>
    <w:rsid w:val="00D95EE2"/>
    <w:rsid w:val="00D95EEE"/>
    <w:rsid w:val="00D96499"/>
    <w:rsid w:val="00D967CF"/>
    <w:rsid w:val="00D96AD3"/>
    <w:rsid w:val="00D96E1F"/>
    <w:rsid w:val="00D97624"/>
    <w:rsid w:val="00D97F91"/>
    <w:rsid w:val="00DA076C"/>
    <w:rsid w:val="00DA0FFB"/>
    <w:rsid w:val="00DA14F8"/>
    <w:rsid w:val="00DA1854"/>
    <w:rsid w:val="00DA370B"/>
    <w:rsid w:val="00DA3D09"/>
    <w:rsid w:val="00DA3F55"/>
    <w:rsid w:val="00DA4C63"/>
    <w:rsid w:val="00DA502D"/>
    <w:rsid w:val="00DA518C"/>
    <w:rsid w:val="00DA53FA"/>
    <w:rsid w:val="00DA5BCE"/>
    <w:rsid w:val="00DA60EE"/>
    <w:rsid w:val="00DA7F76"/>
    <w:rsid w:val="00DB1EB9"/>
    <w:rsid w:val="00DB21DB"/>
    <w:rsid w:val="00DB4037"/>
    <w:rsid w:val="00DB5660"/>
    <w:rsid w:val="00DB66C0"/>
    <w:rsid w:val="00DB74A5"/>
    <w:rsid w:val="00DB7962"/>
    <w:rsid w:val="00DB79A0"/>
    <w:rsid w:val="00DB7A0A"/>
    <w:rsid w:val="00DC03EC"/>
    <w:rsid w:val="00DC0D32"/>
    <w:rsid w:val="00DC1323"/>
    <w:rsid w:val="00DC2037"/>
    <w:rsid w:val="00DC248D"/>
    <w:rsid w:val="00DC3B1B"/>
    <w:rsid w:val="00DC3BFF"/>
    <w:rsid w:val="00DC5217"/>
    <w:rsid w:val="00DC5470"/>
    <w:rsid w:val="00DC5B14"/>
    <w:rsid w:val="00DC608A"/>
    <w:rsid w:val="00DC6C2F"/>
    <w:rsid w:val="00DC739D"/>
    <w:rsid w:val="00DC75FF"/>
    <w:rsid w:val="00DC7AA9"/>
    <w:rsid w:val="00DC7D7A"/>
    <w:rsid w:val="00DD185E"/>
    <w:rsid w:val="00DD25B3"/>
    <w:rsid w:val="00DD270B"/>
    <w:rsid w:val="00DD4490"/>
    <w:rsid w:val="00DD45E0"/>
    <w:rsid w:val="00DD6EBD"/>
    <w:rsid w:val="00DD7445"/>
    <w:rsid w:val="00DE0BA7"/>
    <w:rsid w:val="00DE123C"/>
    <w:rsid w:val="00DE3499"/>
    <w:rsid w:val="00DE4708"/>
    <w:rsid w:val="00DE470F"/>
    <w:rsid w:val="00DF0365"/>
    <w:rsid w:val="00DF1887"/>
    <w:rsid w:val="00DF1B0C"/>
    <w:rsid w:val="00DF3ABD"/>
    <w:rsid w:val="00DF4812"/>
    <w:rsid w:val="00DF5686"/>
    <w:rsid w:val="00DF5820"/>
    <w:rsid w:val="00DF6C04"/>
    <w:rsid w:val="00DF6C92"/>
    <w:rsid w:val="00DF7319"/>
    <w:rsid w:val="00DF749E"/>
    <w:rsid w:val="00DF74E5"/>
    <w:rsid w:val="00DF78D4"/>
    <w:rsid w:val="00DF7A1D"/>
    <w:rsid w:val="00E0113F"/>
    <w:rsid w:val="00E01487"/>
    <w:rsid w:val="00E02469"/>
    <w:rsid w:val="00E02C1E"/>
    <w:rsid w:val="00E02E0A"/>
    <w:rsid w:val="00E02ED7"/>
    <w:rsid w:val="00E03037"/>
    <w:rsid w:val="00E0479E"/>
    <w:rsid w:val="00E04A1F"/>
    <w:rsid w:val="00E04AF9"/>
    <w:rsid w:val="00E06EEC"/>
    <w:rsid w:val="00E07A9E"/>
    <w:rsid w:val="00E1020D"/>
    <w:rsid w:val="00E11AC2"/>
    <w:rsid w:val="00E11BA8"/>
    <w:rsid w:val="00E142D4"/>
    <w:rsid w:val="00E1473A"/>
    <w:rsid w:val="00E15740"/>
    <w:rsid w:val="00E1622A"/>
    <w:rsid w:val="00E16458"/>
    <w:rsid w:val="00E16777"/>
    <w:rsid w:val="00E2049A"/>
    <w:rsid w:val="00E21193"/>
    <w:rsid w:val="00E21549"/>
    <w:rsid w:val="00E22922"/>
    <w:rsid w:val="00E259F4"/>
    <w:rsid w:val="00E25EB1"/>
    <w:rsid w:val="00E2686E"/>
    <w:rsid w:val="00E2736B"/>
    <w:rsid w:val="00E273C2"/>
    <w:rsid w:val="00E2798D"/>
    <w:rsid w:val="00E303B3"/>
    <w:rsid w:val="00E31F5B"/>
    <w:rsid w:val="00E3200F"/>
    <w:rsid w:val="00E32DD3"/>
    <w:rsid w:val="00E332C0"/>
    <w:rsid w:val="00E34070"/>
    <w:rsid w:val="00E340AE"/>
    <w:rsid w:val="00E35265"/>
    <w:rsid w:val="00E355A6"/>
    <w:rsid w:val="00E363B0"/>
    <w:rsid w:val="00E375E0"/>
    <w:rsid w:val="00E37DC8"/>
    <w:rsid w:val="00E40828"/>
    <w:rsid w:val="00E40A29"/>
    <w:rsid w:val="00E42775"/>
    <w:rsid w:val="00E42989"/>
    <w:rsid w:val="00E42B42"/>
    <w:rsid w:val="00E42F56"/>
    <w:rsid w:val="00E43199"/>
    <w:rsid w:val="00E441AF"/>
    <w:rsid w:val="00E44357"/>
    <w:rsid w:val="00E44704"/>
    <w:rsid w:val="00E45286"/>
    <w:rsid w:val="00E46D59"/>
    <w:rsid w:val="00E47496"/>
    <w:rsid w:val="00E47ACA"/>
    <w:rsid w:val="00E505BB"/>
    <w:rsid w:val="00E52018"/>
    <w:rsid w:val="00E524D8"/>
    <w:rsid w:val="00E52633"/>
    <w:rsid w:val="00E52697"/>
    <w:rsid w:val="00E53387"/>
    <w:rsid w:val="00E545F5"/>
    <w:rsid w:val="00E558BF"/>
    <w:rsid w:val="00E56339"/>
    <w:rsid w:val="00E5756B"/>
    <w:rsid w:val="00E57691"/>
    <w:rsid w:val="00E60621"/>
    <w:rsid w:val="00E6177D"/>
    <w:rsid w:val="00E61DDD"/>
    <w:rsid w:val="00E6226A"/>
    <w:rsid w:val="00E62F59"/>
    <w:rsid w:val="00E63262"/>
    <w:rsid w:val="00E63746"/>
    <w:rsid w:val="00E6493D"/>
    <w:rsid w:val="00E64C32"/>
    <w:rsid w:val="00E64EC5"/>
    <w:rsid w:val="00E65F22"/>
    <w:rsid w:val="00E6722E"/>
    <w:rsid w:val="00E7062B"/>
    <w:rsid w:val="00E72952"/>
    <w:rsid w:val="00E7470F"/>
    <w:rsid w:val="00E749FC"/>
    <w:rsid w:val="00E74F5D"/>
    <w:rsid w:val="00E752B9"/>
    <w:rsid w:val="00E75327"/>
    <w:rsid w:val="00E75CE3"/>
    <w:rsid w:val="00E7680E"/>
    <w:rsid w:val="00E81207"/>
    <w:rsid w:val="00E8132D"/>
    <w:rsid w:val="00E819F3"/>
    <w:rsid w:val="00E81A31"/>
    <w:rsid w:val="00E81C87"/>
    <w:rsid w:val="00E826E5"/>
    <w:rsid w:val="00E82924"/>
    <w:rsid w:val="00E82C4B"/>
    <w:rsid w:val="00E8327D"/>
    <w:rsid w:val="00E834EE"/>
    <w:rsid w:val="00E83DFB"/>
    <w:rsid w:val="00E83E6E"/>
    <w:rsid w:val="00E8488C"/>
    <w:rsid w:val="00E85215"/>
    <w:rsid w:val="00E8592C"/>
    <w:rsid w:val="00E8653B"/>
    <w:rsid w:val="00E87604"/>
    <w:rsid w:val="00E904C9"/>
    <w:rsid w:val="00E908A9"/>
    <w:rsid w:val="00E91737"/>
    <w:rsid w:val="00E91C4E"/>
    <w:rsid w:val="00E91CD2"/>
    <w:rsid w:val="00E94618"/>
    <w:rsid w:val="00E94B40"/>
    <w:rsid w:val="00E96990"/>
    <w:rsid w:val="00E96BFA"/>
    <w:rsid w:val="00E9756E"/>
    <w:rsid w:val="00EA282E"/>
    <w:rsid w:val="00EA3FBB"/>
    <w:rsid w:val="00EA60A7"/>
    <w:rsid w:val="00EA6C5A"/>
    <w:rsid w:val="00EB0491"/>
    <w:rsid w:val="00EB087B"/>
    <w:rsid w:val="00EB29F5"/>
    <w:rsid w:val="00EB2D0C"/>
    <w:rsid w:val="00EB38CC"/>
    <w:rsid w:val="00EB3D60"/>
    <w:rsid w:val="00EB3DCD"/>
    <w:rsid w:val="00EB4CB9"/>
    <w:rsid w:val="00EB596F"/>
    <w:rsid w:val="00EB66BE"/>
    <w:rsid w:val="00EC28B5"/>
    <w:rsid w:val="00EC31F5"/>
    <w:rsid w:val="00EC3A08"/>
    <w:rsid w:val="00EC55C6"/>
    <w:rsid w:val="00EC5C39"/>
    <w:rsid w:val="00EC67B3"/>
    <w:rsid w:val="00EC7D47"/>
    <w:rsid w:val="00ED0B74"/>
    <w:rsid w:val="00ED255D"/>
    <w:rsid w:val="00ED3702"/>
    <w:rsid w:val="00ED3CFF"/>
    <w:rsid w:val="00ED7352"/>
    <w:rsid w:val="00ED7738"/>
    <w:rsid w:val="00EE01A3"/>
    <w:rsid w:val="00EE0391"/>
    <w:rsid w:val="00EE0411"/>
    <w:rsid w:val="00EE3327"/>
    <w:rsid w:val="00EE3B99"/>
    <w:rsid w:val="00EE3DE9"/>
    <w:rsid w:val="00EE42B2"/>
    <w:rsid w:val="00EE4BAF"/>
    <w:rsid w:val="00EE5406"/>
    <w:rsid w:val="00EE62AD"/>
    <w:rsid w:val="00EE65C9"/>
    <w:rsid w:val="00EE7159"/>
    <w:rsid w:val="00EE7B8D"/>
    <w:rsid w:val="00EE7C52"/>
    <w:rsid w:val="00EF0DDE"/>
    <w:rsid w:val="00EF2C76"/>
    <w:rsid w:val="00EF3F70"/>
    <w:rsid w:val="00EF4A1A"/>
    <w:rsid w:val="00EF5138"/>
    <w:rsid w:val="00EF6293"/>
    <w:rsid w:val="00EF690B"/>
    <w:rsid w:val="00EF69FD"/>
    <w:rsid w:val="00F00A28"/>
    <w:rsid w:val="00F00E1D"/>
    <w:rsid w:val="00F00F4C"/>
    <w:rsid w:val="00F01E6D"/>
    <w:rsid w:val="00F02352"/>
    <w:rsid w:val="00F02585"/>
    <w:rsid w:val="00F036BC"/>
    <w:rsid w:val="00F06338"/>
    <w:rsid w:val="00F06539"/>
    <w:rsid w:val="00F0794D"/>
    <w:rsid w:val="00F079EB"/>
    <w:rsid w:val="00F10F08"/>
    <w:rsid w:val="00F11402"/>
    <w:rsid w:val="00F1245E"/>
    <w:rsid w:val="00F12510"/>
    <w:rsid w:val="00F131E3"/>
    <w:rsid w:val="00F14DD2"/>
    <w:rsid w:val="00F1513B"/>
    <w:rsid w:val="00F155E3"/>
    <w:rsid w:val="00F16AFF"/>
    <w:rsid w:val="00F172C7"/>
    <w:rsid w:val="00F17418"/>
    <w:rsid w:val="00F17748"/>
    <w:rsid w:val="00F20B66"/>
    <w:rsid w:val="00F2200B"/>
    <w:rsid w:val="00F221F3"/>
    <w:rsid w:val="00F22FB4"/>
    <w:rsid w:val="00F2450E"/>
    <w:rsid w:val="00F2580E"/>
    <w:rsid w:val="00F2602F"/>
    <w:rsid w:val="00F262D8"/>
    <w:rsid w:val="00F26DFA"/>
    <w:rsid w:val="00F26F08"/>
    <w:rsid w:val="00F2716A"/>
    <w:rsid w:val="00F27189"/>
    <w:rsid w:val="00F308AF"/>
    <w:rsid w:val="00F30BFD"/>
    <w:rsid w:val="00F33661"/>
    <w:rsid w:val="00F33CC6"/>
    <w:rsid w:val="00F33CD6"/>
    <w:rsid w:val="00F33D15"/>
    <w:rsid w:val="00F34D56"/>
    <w:rsid w:val="00F360DB"/>
    <w:rsid w:val="00F36161"/>
    <w:rsid w:val="00F36D89"/>
    <w:rsid w:val="00F40585"/>
    <w:rsid w:val="00F40B16"/>
    <w:rsid w:val="00F41942"/>
    <w:rsid w:val="00F42302"/>
    <w:rsid w:val="00F45733"/>
    <w:rsid w:val="00F4697D"/>
    <w:rsid w:val="00F47521"/>
    <w:rsid w:val="00F52892"/>
    <w:rsid w:val="00F52BEE"/>
    <w:rsid w:val="00F52D40"/>
    <w:rsid w:val="00F548A2"/>
    <w:rsid w:val="00F5706C"/>
    <w:rsid w:val="00F616B7"/>
    <w:rsid w:val="00F62DCE"/>
    <w:rsid w:val="00F64AD4"/>
    <w:rsid w:val="00F65E18"/>
    <w:rsid w:val="00F665F9"/>
    <w:rsid w:val="00F6692D"/>
    <w:rsid w:val="00F672CE"/>
    <w:rsid w:val="00F67343"/>
    <w:rsid w:val="00F71388"/>
    <w:rsid w:val="00F71A99"/>
    <w:rsid w:val="00F7240C"/>
    <w:rsid w:val="00F73C6D"/>
    <w:rsid w:val="00F74171"/>
    <w:rsid w:val="00F75245"/>
    <w:rsid w:val="00F76918"/>
    <w:rsid w:val="00F82ED0"/>
    <w:rsid w:val="00F836AD"/>
    <w:rsid w:val="00F848E2"/>
    <w:rsid w:val="00F87755"/>
    <w:rsid w:val="00F91412"/>
    <w:rsid w:val="00F91997"/>
    <w:rsid w:val="00F91E16"/>
    <w:rsid w:val="00F91EC9"/>
    <w:rsid w:val="00F95516"/>
    <w:rsid w:val="00F95F21"/>
    <w:rsid w:val="00F97301"/>
    <w:rsid w:val="00F975B0"/>
    <w:rsid w:val="00F97F9E"/>
    <w:rsid w:val="00FA2070"/>
    <w:rsid w:val="00FA349E"/>
    <w:rsid w:val="00FA41F7"/>
    <w:rsid w:val="00FA6DCD"/>
    <w:rsid w:val="00FA6F58"/>
    <w:rsid w:val="00FA7003"/>
    <w:rsid w:val="00FA7693"/>
    <w:rsid w:val="00FB07E6"/>
    <w:rsid w:val="00FB3522"/>
    <w:rsid w:val="00FB3E05"/>
    <w:rsid w:val="00FB43EC"/>
    <w:rsid w:val="00FB5699"/>
    <w:rsid w:val="00FB5A9A"/>
    <w:rsid w:val="00FB5E43"/>
    <w:rsid w:val="00FB6CF2"/>
    <w:rsid w:val="00FB6F06"/>
    <w:rsid w:val="00FB7993"/>
    <w:rsid w:val="00FC19D7"/>
    <w:rsid w:val="00FC1B61"/>
    <w:rsid w:val="00FC1C1F"/>
    <w:rsid w:val="00FC2118"/>
    <w:rsid w:val="00FC4132"/>
    <w:rsid w:val="00FC43A2"/>
    <w:rsid w:val="00FC4569"/>
    <w:rsid w:val="00FC69AF"/>
    <w:rsid w:val="00FD02E9"/>
    <w:rsid w:val="00FD08EA"/>
    <w:rsid w:val="00FD0B04"/>
    <w:rsid w:val="00FD216D"/>
    <w:rsid w:val="00FD3614"/>
    <w:rsid w:val="00FD7078"/>
    <w:rsid w:val="00FD7836"/>
    <w:rsid w:val="00FE024E"/>
    <w:rsid w:val="00FE1D5D"/>
    <w:rsid w:val="00FE2094"/>
    <w:rsid w:val="00FE38A6"/>
    <w:rsid w:val="00FE6377"/>
    <w:rsid w:val="00FE6476"/>
    <w:rsid w:val="00FE73F7"/>
    <w:rsid w:val="00FE758F"/>
    <w:rsid w:val="00FF0B0E"/>
    <w:rsid w:val="00FF12C2"/>
    <w:rsid w:val="00FF1401"/>
    <w:rsid w:val="00FF15D6"/>
    <w:rsid w:val="00FF1C94"/>
    <w:rsid w:val="00FF1CCF"/>
    <w:rsid w:val="00FF1F91"/>
    <w:rsid w:val="00FF1FB2"/>
    <w:rsid w:val="00FF3A3A"/>
    <w:rsid w:val="00FF4454"/>
    <w:rsid w:val="00FF5AF1"/>
    <w:rsid w:val="00FF63B5"/>
    <w:rsid w:val="00FF7383"/>
    <w:rsid w:val="00FF78D0"/>
    <w:rsid w:val="00FF78DC"/>
    <w:rsid w:val="00FF794C"/>
  </w:rsids>
  <m:mathPr>
    <m:mathFont m:val="Cambria Math"/>
    <m:brkBin m:val="before"/>
    <m:brkBinSub m:val="--"/>
    <m:smallFrac/>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fillcolor="white">
      <v:fill color="white"/>
      <o:colormenu v:ext="edit"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8BA"/>
    <w:rPr>
      <w:lang w:val="en-US" w:eastAsia="en-US"/>
    </w:rPr>
  </w:style>
  <w:style w:type="paragraph" w:styleId="Heading1">
    <w:name w:val="heading 1"/>
    <w:basedOn w:val="Normal"/>
    <w:next w:val="Normal"/>
    <w:qFormat/>
    <w:rsid w:val="009F68BA"/>
    <w:pPr>
      <w:keepNext/>
      <w:outlineLvl w:val="0"/>
    </w:pPr>
    <w:rPr>
      <w:sz w:val="24"/>
    </w:rPr>
  </w:style>
  <w:style w:type="paragraph" w:styleId="Heading2">
    <w:name w:val="heading 2"/>
    <w:basedOn w:val="Normal"/>
    <w:next w:val="Normal"/>
    <w:qFormat/>
    <w:rsid w:val="009F68BA"/>
    <w:pPr>
      <w:keepNext/>
      <w:jc w:val="center"/>
      <w:outlineLvl w:val="1"/>
    </w:pPr>
    <w:rPr>
      <w:sz w:val="24"/>
    </w:rPr>
  </w:style>
  <w:style w:type="paragraph" w:styleId="Heading3">
    <w:name w:val="heading 3"/>
    <w:basedOn w:val="Normal"/>
    <w:next w:val="Normal"/>
    <w:qFormat/>
    <w:rsid w:val="009F68BA"/>
    <w:pPr>
      <w:keepNext/>
      <w:outlineLvl w:val="2"/>
    </w:pPr>
    <w:rPr>
      <w:b/>
      <w:sz w:val="24"/>
    </w:rPr>
  </w:style>
  <w:style w:type="paragraph" w:styleId="Heading4">
    <w:name w:val="heading 4"/>
    <w:basedOn w:val="Normal"/>
    <w:next w:val="Normal"/>
    <w:qFormat/>
    <w:rsid w:val="009F68BA"/>
    <w:pPr>
      <w:keepNext/>
      <w:ind w:left="360"/>
      <w:outlineLvl w:val="3"/>
    </w:pPr>
    <w:rPr>
      <w:sz w:val="24"/>
    </w:rPr>
  </w:style>
  <w:style w:type="paragraph" w:styleId="Heading5">
    <w:name w:val="heading 5"/>
    <w:basedOn w:val="Normal"/>
    <w:next w:val="Normal"/>
    <w:qFormat/>
    <w:rsid w:val="009F68BA"/>
    <w:pPr>
      <w:keepNext/>
      <w:outlineLvl w:val="4"/>
    </w:pPr>
    <w:rPr>
      <w:b/>
      <w:sz w:val="22"/>
    </w:rPr>
  </w:style>
  <w:style w:type="paragraph" w:styleId="Heading6">
    <w:name w:val="heading 6"/>
    <w:basedOn w:val="Normal"/>
    <w:next w:val="Normal"/>
    <w:qFormat/>
    <w:rsid w:val="009F68BA"/>
    <w:pPr>
      <w:keepNext/>
      <w:outlineLvl w:val="5"/>
    </w:pPr>
    <w:rPr>
      <w:sz w:val="24"/>
      <w:u w:val="single"/>
    </w:rPr>
  </w:style>
  <w:style w:type="paragraph" w:styleId="Heading7">
    <w:name w:val="heading 7"/>
    <w:basedOn w:val="Normal"/>
    <w:next w:val="Normal"/>
    <w:qFormat/>
    <w:rsid w:val="009F68BA"/>
    <w:pPr>
      <w:keepNext/>
      <w:jc w:val="center"/>
      <w:outlineLvl w:val="6"/>
    </w:pPr>
    <w:rPr>
      <w:b/>
      <w:sz w:val="22"/>
    </w:rPr>
  </w:style>
  <w:style w:type="paragraph" w:styleId="Heading8">
    <w:name w:val="heading 8"/>
    <w:basedOn w:val="Normal"/>
    <w:next w:val="Normal"/>
    <w:qFormat/>
    <w:rsid w:val="009F68BA"/>
    <w:pPr>
      <w:keepNext/>
      <w:outlineLvl w:val="7"/>
    </w:pPr>
    <w:rPr>
      <w:b/>
      <w:bCs/>
      <w:sz w:val="24"/>
      <w:u w:val="single"/>
    </w:rPr>
  </w:style>
  <w:style w:type="paragraph" w:styleId="Heading9">
    <w:name w:val="heading 9"/>
    <w:basedOn w:val="Normal"/>
    <w:next w:val="Normal"/>
    <w:qFormat/>
    <w:rsid w:val="009F68BA"/>
    <w:pPr>
      <w:keepNext/>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F68BA"/>
    <w:pPr>
      <w:ind w:left="360"/>
      <w:jc w:val="both"/>
    </w:pPr>
    <w:rPr>
      <w:i/>
      <w:sz w:val="24"/>
    </w:rPr>
  </w:style>
  <w:style w:type="paragraph" w:styleId="BodyTextIndent2">
    <w:name w:val="Body Text Indent 2"/>
    <w:basedOn w:val="Normal"/>
    <w:rsid w:val="009F68BA"/>
    <w:pPr>
      <w:ind w:left="360"/>
      <w:jc w:val="both"/>
    </w:pPr>
    <w:rPr>
      <w:sz w:val="24"/>
    </w:rPr>
  </w:style>
  <w:style w:type="paragraph" w:styleId="BodyTextIndent3">
    <w:name w:val="Body Text Indent 3"/>
    <w:basedOn w:val="Normal"/>
    <w:rsid w:val="009F68BA"/>
    <w:pPr>
      <w:ind w:left="360"/>
    </w:pPr>
    <w:rPr>
      <w:sz w:val="24"/>
    </w:rPr>
  </w:style>
  <w:style w:type="paragraph" w:styleId="BodyText">
    <w:name w:val="Body Text"/>
    <w:basedOn w:val="Normal"/>
    <w:link w:val="BodyTextChar"/>
    <w:rsid w:val="009F68BA"/>
    <w:pPr>
      <w:jc w:val="both"/>
    </w:pPr>
    <w:rPr>
      <w:sz w:val="24"/>
    </w:rPr>
  </w:style>
  <w:style w:type="paragraph" w:styleId="Footer">
    <w:name w:val="footer"/>
    <w:basedOn w:val="Normal"/>
    <w:link w:val="FooterChar"/>
    <w:uiPriority w:val="99"/>
    <w:rsid w:val="009F68BA"/>
    <w:pPr>
      <w:tabs>
        <w:tab w:val="center" w:pos="4320"/>
        <w:tab w:val="right" w:pos="8640"/>
      </w:tabs>
    </w:pPr>
  </w:style>
  <w:style w:type="character" w:styleId="PageNumber">
    <w:name w:val="page number"/>
    <w:basedOn w:val="DefaultParagraphFont"/>
    <w:rsid w:val="009F68BA"/>
  </w:style>
  <w:style w:type="paragraph" w:styleId="Header">
    <w:name w:val="header"/>
    <w:basedOn w:val="Normal"/>
    <w:rsid w:val="009F68BA"/>
    <w:pPr>
      <w:tabs>
        <w:tab w:val="center" w:pos="4320"/>
        <w:tab w:val="right" w:pos="8640"/>
      </w:tabs>
    </w:pPr>
  </w:style>
  <w:style w:type="character" w:styleId="LineNumber">
    <w:name w:val="line number"/>
    <w:basedOn w:val="DefaultParagraphFont"/>
    <w:rsid w:val="009F68BA"/>
  </w:style>
  <w:style w:type="paragraph" w:styleId="DocumentMap">
    <w:name w:val="Document Map"/>
    <w:basedOn w:val="Normal"/>
    <w:semiHidden/>
    <w:rsid w:val="009F68BA"/>
    <w:pPr>
      <w:shd w:val="clear" w:color="auto" w:fill="000080"/>
    </w:pPr>
    <w:rPr>
      <w:rFonts w:ascii="Tahoma" w:hAnsi="Tahoma"/>
    </w:rPr>
  </w:style>
  <w:style w:type="paragraph" w:styleId="BalloonText">
    <w:name w:val="Balloon Text"/>
    <w:basedOn w:val="Normal"/>
    <w:semiHidden/>
    <w:rsid w:val="009F68BA"/>
    <w:rPr>
      <w:rFonts w:ascii="Tahoma" w:hAnsi="Tahoma" w:cs="Tahoma"/>
      <w:sz w:val="16"/>
      <w:szCs w:val="16"/>
    </w:rPr>
  </w:style>
  <w:style w:type="paragraph" w:customStyle="1" w:styleId="Level1">
    <w:name w:val="Level 1"/>
    <w:basedOn w:val="Normal"/>
    <w:rsid w:val="009F68BA"/>
    <w:pPr>
      <w:widowControl w:val="0"/>
      <w:numPr>
        <w:numId w:val="1"/>
      </w:numPr>
      <w:autoSpaceDE w:val="0"/>
      <w:autoSpaceDN w:val="0"/>
      <w:adjustRightInd w:val="0"/>
      <w:ind w:left="720" w:hanging="720"/>
      <w:outlineLvl w:val="0"/>
    </w:pPr>
    <w:rPr>
      <w:szCs w:val="24"/>
    </w:rPr>
  </w:style>
  <w:style w:type="paragraph" w:customStyle="1" w:styleId="Level6">
    <w:name w:val="Level 6"/>
    <w:basedOn w:val="Normal"/>
    <w:rsid w:val="009F68BA"/>
    <w:pPr>
      <w:widowControl w:val="0"/>
      <w:numPr>
        <w:ilvl w:val="5"/>
        <w:numId w:val="1"/>
      </w:numPr>
      <w:autoSpaceDE w:val="0"/>
      <w:autoSpaceDN w:val="0"/>
      <w:adjustRightInd w:val="0"/>
      <w:ind w:left="4320" w:hanging="720"/>
      <w:outlineLvl w:val="5"/>
    </w:pPr>
    <w:rPr>
      <w:szCs w:val="24"/>
    </w:rPr>
  </w:style>
  <w:style w:type="paragraph" w:customStyle="1" w:styleId="2AutoList2">
    <w:name w:val="2AutoList2"/>
    <w:rsid w:val="009F68BA"/>
    <w:pPr>
      <w:widowControl w:val="0"/>
      <w:tabs>
        <w:tab w:val="left" w:pos="720"/>
        <w:tab w:val="left" w:pos="1440"/>
      </w:tabs>
      <w:autoSpaceDE w:val="0"/>
      <w:autoSpaceDN w:val="0"/>
      <w:adjustRightInd w:val="0"/>
      <w:ind w:left="1440" w:hanging="720"/>
      <w:jc w:val="both"/>
    </w:pPr>
    <w:rPr>
      <w:rFonts w:ascii="Univers" w:hAnsi="Univers"/>
      <w:szCs w:val="24"/>
      <w:lang w:val="en-US" w:eastAsia="en-US"/>
    </w:rPr>
  </w:style>
  <w:style w:type="table" w:styleId="TableGrid">
    <w:name w:val="Table Grid"/>
    <w:basedOn w:val="TableNormal"/>
    <w:rsid w:val="005F3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FR">
    <w:name w:val="TB_FR"/>
    <w:basedOn w:val="Normal"/>
    <w:rsid w:val="003556F6"/>
    <w:pPr>
      <w:suppressAutoHyphens/>
      <w:spacing w:before="40" w:after="40" w:line="220" w:lineRule="exact"/>
      <w:jc w:val="right"/>
    </w:pPr>
    <w:rPr>
      <w:rFonts w:ascii="IDCSansSerif" w:eastAsia="MS Hei" w:hAnsi="IDCSansSerif"/>
      <w:kern w:val="16"/>
      <w:sz w:val="18"/>
    </w:rPr>
  </w:style>
  <w:style w:type="character" w:styleId="CommentReference">
    <w:name w:val="annotation reference"/>
    <w:basedOn w:val="DefaultParagraphFont"/>
    <w:semiHidden/>
    <w:rsid w:val="003F10F1"/>
    <w:rPr>
      <w:sz w:val="16"/>
      <w:szCs w:val="16"/>
    </w:rPr>
  </w:style>
  <w:style w:type="paragraph" w:styleId="CommentText">
    <w:name w:val="annotation text"/>
    <w:basedOn w:val="Normal"/>
    <w:semiHidden/>
    <w:rsid w:val="003F10F1"/>
  </w:style>
  <w:style w:type="paragraph" w:styleId="CommentSubject">
    <w:name w:val="annotation subject"/>
    <w:basedOn w:val="CommentText"/>
    <w:next w:val="CommentText"/>
    <w:semiHidden/>
    <w:rsid w:val="003F10F1"/>
    <w:rPr>
      <w:b/>
      <w:bCs/>
    </w:rPr>
  </w:style>
  <w:style w:type="paragraph" w:styleId="ListParagraph">
    <w:name w:val="List Paragraph"/>
    <w:basedOn w:val="Normal"/>
    <w:uiPriority w:val="34"/>
    <w:qFormat/>
    <w:rsid w:val="00C64D41"/>
    <w:pPr>
      <w:ind w:left="720"/>
      <w:contextualSpacing/>
    </w:pPr>
  </w:style>
  <w:style w:type="paragraph" w:styleId="NormalWeb">
    <w:name w:val="Normal (Web)"/>
    <w:basedOn w:val="Normal"/>
    <w:uiPriority w:val="99"/>
    <w:unhideWhenUsed/>
    <w:rsid w:val="00745CB5"/>
    <w:pPr>
      <w:spacing w:before="100" w:beforeAutospacing="1" w:after="100" w:afterAutospacing="1"/>
    </w:pPr>
    <w:rPr>
      <w:color w:val="000000"/>
      <w:sz w:val="24"/>
      <w:szCs w:val="24"/>
    </w:rPr>
  </w:style>
  <w:style w:type="character" w:customStyle="1" w:styleId="FooterChar">
    <w:name w:val="Footer Char"/>
    <w:basedOn w:val="DefaultParagraphFont"/>
    <w:link w:val="Footer"/>
    <w:uiPriority w:val="99"/>
    <w:rsid w:val="00C030F1"/>
    <w:rPr>
      <w:lang w:val="en-US" w:eastAsia="en-US"/>
    </w:rPr>
  </w:style>
  <w:style w:type="paragraph" w:customStyle="1" w:styleId="Default">
    <w:name w:val="Default"/>
    <w:rsid w:val="003B55B2"/>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C0ADB"/>
    <w:rPr>
      <w:color w:val="0000FF" w:themeColor="hyperlink"/>
      <w:u w:val="single"/>
    </w:rPr>
  </w:style>
  <w:style w:type="character" w:customStyle="1" w:styleId="mceitemhidden">
    <w:name w:val="mceitemhidden"/>
    <w:basedOn w:val="DefaultParagraphFont"/>
    <w:rsid w:val="002C7E43"/>
  </w:style>
  <w:style w:type="character" w:customStyle="1" w:styleId="hiddenspellerror">
    <w:name w:val="hiddenspellerror"/>
    <w:basedOn w:val="DefaultParagraphFont"/>
    <w:rsid w:val="002C7E43"/>
  </w:style>
  <w:style w:type="character" w:customStyle="1" w:styleId="BodyTextChar">
    <w:name w:val="Body Text Char"/>
    <w:basedOn w:val="DefaultParagraphFont"/>
    <w:link w:val="BodyText"/>
    <w:rsid w:val="00A23B5C"/>
    <w:rPr>
      <w:sz w:val="24"/>
      <w:lang w:val="en-US" w:eastAsia="en-US"/>
    </w:rPr>
  </w:style>
  <w:style w:type="paragraph" w:styleId="Revision">
    <w:name w:val="Revision"/>
    <w:hidden/>
    <w:uiPriority w:val="99"/>
    <w:semiHidden/>
    <w:rsid w:val="007D2E1E"/>
    <w:rPr>
      <w:lang w:val="en-US" w:eastAsia="en-US"/>
    </w:rPr>
  </w:style>
  <w:style w:type="paragraph" w:customStyle="1" w:styleId="1AutoList1">
    <w:name w:val="1AutoList1"/>
    <w:uiPriority w:val="99"/>
    <w:rsid w:val="00A16304"/>
    <w:pPr>
      <w:widowControl w:val="0"/>
      <w:tabs>
        <w:tab w:val="left" w:pos="720"/>
      </w:tabs>
      <w:autoSpaceDE w:val="0"/>
      <w:autoSpaceDN w:val="0"/>
      <w:ind w:left="720" w:hanging="720"/>
      <w:jc w:val="both"/>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8BA"/>
    <w:rPr>
      <w:lang w:val="en-US" w:eastAsia="en-US"/>
    </w:rPr>
  </w:style>
  <w:style w:type="paragraph" w:styleId="Heading1">
    <w:name w:val="heading 1"/>
    <w:basedOn w:val="Normal"/>
    <w:next w:val="Normal"/>
    <w:qFormat/>
    <w:rsid w:val="009F68BA"/>
    <w:pPr>
      <w:keepNext/>
      <w:outlineLvl w:val="0"/>
    </w:pPr>
    <w:rPr>
      <w:sz w:val="24"/>
    </w:rPr>
  </w:style>
  <w:style w:type="paragraph" w:styleId="Heading2">
    <w:name w:val="heading 2"/>
    <w:basedOn w:val="Normal"/>
    <w:next w:val="Normal"/>
    <w:qFormat/>
    <w:rsid w:val="009F68BA"/>
    <w:pPr>
      <w:keepNext/>
      <w:jc w:val="center"/>
      <w:outlineLvl w:val="1"/>
    </w:pPr>
    <w:rPr>
      <w:sz w:val="24"/>
    </w:rPr>
  </w:style>
  <w:style w:type="paragraph" w:styleId="Heading3">
    <w:name w:val="heading 3"/>
    <w:basedOn w:val="Normal"/>
    <w:next w:val="Normal"/>
    <w:qFormat/>
    <w:rsid w:val="009F68BA"/>
    <w:pPr>
      <w:keepNext/>
      <w:outlineLvl w:val="2"/>
    </w:pPr>
    <w:rPr>
      <w:b/>
      <w:sz w:val="24"/>
    </w:rPr>
  </w:style>
  <w:style w:type="paragraph" w:styleId="Heading4">
    <w:name w:val="heading 4"/>
    <w:basedOn w:val="Normal"/>
    <w:next w:val="Normal"/>
    <w:qFormat/>
    <w:rsid w:val="009F68BA"/>
    <w:pPr>
      <w:keepNext/>
      <w:ind w:left="360"/>
      <w:outlineLvl w:val="3"/>
    </w:pPr>
    <w:rPr>
      <w:sz w:val="24"/>
    </w:rPr>
  </w:style>
  <w:style w:type="paragraph" w:styleId="Heading5">
    <w:name w:val="heading 5"/>
    <w:basedOn w:val="Normal"/>
    <w:next w:val="Normal"/>
    <w:qFormat/>
    <w:rsid w:val="009F68BA"/>
    <w:pPr>
      <w:keepNext/>
      <w:outlineLvl w:val="4"/>
    </w:pPr>
    <w:rPr>
      <w:b/>
      <w:sz w:val="22"/>
    </w:rPr>
  </w:style>
  <w:style w:type="paragraph" w:styleId="Heading6">
    <w:name w:val="heading 6"/>
    <w:basedOn w:val="Normal"/>
    <w:next w:val="Normal"/>
    <w:qFormat/>
    <w:rsid w:val="009F68BA"/>
    <w:pPr>
      <w:keepNext/>
      <w:outlineLvl w:val="5"/>
    </w:pPr>
    <w:rPr>
      <w:sz w:val="24"/>
      <w:u w:val="single"/>
    </w:rPr>
  </w:style>
  <w:style w:type="paragraph" w:styleId="Heading7">
    <w:name w:val="heading 7"/>
    <w:basedOn w:val="Normal"/>
    <w:next w:val="Normal"/>
    <w:qFormat/>
    <w:rsid w:val="009F68BA"/>
    <w:pPr>
      <w:keepNext/>
      <w:jc w:val="center"/>
      <w:outlineLvl w:val="6"/>
    </w:pPr>
    <w:rPr>
      <w:b/>
      <w:sz w:val="22"/>
    </w:rPr>
  </w:style>
  <w:style w:type="paragraph" w:styleId="Heading8">
    <w:name w:val="heading 8"/>
    <w:basedOn w:val="Normal"/>
    <w:next w:val="Normal"/>
    <w:qFormat/>
    <w:rsid w:val="009F68BA"/>
    <w:pPr>
      <w:keepNext/>
      <w:outlineLvl w:val="7"/>
    </w:pPr>
    <w:rPr>
      <w:b/>
      <w:bCs/>
      <w:sz w:val="24"/>
      <w:u w:val="single"/>
    </w:rPr>
  </w:style>
  <w:style w:type="paragraph" w:styleId="Heading9">
    <w:name w:val="heading 9"/>
    <w:basedOn w:val="Normal"/>
    <w:next w:val="Normal"/>
    <w:qFormat/>
    <w:rsid w:val="009F68BA"/>
    <w:pPr>
      <w:keepNext/>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F68BA"/>
    <w:pPr>
      <w:ind w:left="360"/>
      <w:jc w:val="both"/>
    </w:pPr>
    <w:rPr>
      <w:i/>
      <w:sz w:val="24"/>
    </w:rPr>
  </w:style>
  <w:style w:type="paragraph" w:styleId="BodyTextIndent2">
    <w:name w:val="Body Text Indent 2"/>
    <w:basedOn w:val="Normal"/>
    <w:rsid w:val="009F68BA"/>
    <w:pPr>
      <w:ind w:left="360"/>
      <w:jc w:val="both"/>
    </w:pPr>
    <w:rPr>
      <w:sz w:val="24"/>
    </w:rPr>
  </w:style>
  <w:style w:type="paragraph" w:styleId="BodyTextIndent3">
    <w:name w:val="Body Text Indent 3"/>
    <w:basedOn w:val="Normal"/>
    <w:rsid w:val="009F68BA"/>
    <w:pPr>
      <w:ind w:left="360"/>
    </w:pPr>
    <w:rPr>
      <w:sz w:val="24"/>
    </w:rPr>
  </w:style>
  <w:style w:type="paragraph" w:styleId="BodyText">
    <w:name w:val="Body Text"/>
    <w:basedOn w:val="Normal"/>
    <w:link w:val="BodyTextChar"/>
    <w:rsid w:val="009F68BA"/>
    <w:pPr>
      <w:jc w:val="both"/>
    </w:pPr>
    <w:rPr>
      <w:sz w:val="24"/>
    </w:rPr>
  </w:style>
  <w:style w:type="paragraph" w:styleId="Footer">
    <w:name w:val="footer"/>
    <w:basedOn w:val="Normal"/>
    <w:link w:val="FooterChar"/>
    <w:uiPriority w:val="99"/>
    <w:rsid w:val="009F68BA"/>
    <w:pPr>
      <w:tabs>
        <w:tab w:val="center" w:pos="4320"/>
        <w:tab w:val="right" w:pos="8640"/>
      </w:tabs>
    </w:pPr>
  </w:style>
  <w:style w:type="character" w:styleId="PageNumber">
    <w:name w:val="page number"/>
    <w:basedOn w:val="DefaultParagraphFont"/>
    <w:rsid w:val="009F68BA"/>
  </w:style>
  <w:style w:type="paragraph" w:styleId="Header">
    <w:name w:val="header"/>
    <w:basedOn w:val="Normal"/>
    <w:rsid w:val="009F68BA"/>
    <w:pPr>
      <w:tabs>
        <w:tab w:val="center" w:pos="4320"/>
        <w:tab w:val="right" w:pos="8640"/>
      </w:tabs>
    </w:pPr>
  </w:style>
  <w:style w:type="character" w:styleId="LineNumber">
    <w:name w:val="line number"/>
    <w:basedOn w:val="DefaultParagraphFont"/>
    <w:rsid w:val="009F68BA"/>
  </w:style>
  <w:style w:type="paragraph" w:styleId="DocumentMap">
    <w:name w:val="Document Map"/>
    <w:basedOn w:val="Normal"/>
    <w:semiHidden/>
    <w:rsid w:val="009F68BA"/>
    <w:pPr>
      <w:shd w:val="clear" w:color="auto" w:fill="000080"/>
    </w:pPr>
    <w:rPr>
      <w:rFonts w:ascii="Tahoma" w:hAnsi="Tahoma"/>
    </w:rPr>
  </w:style>
  <w:style w:type="paragraph" w:styleId="BalloonText">
    <w:name w:val="Balloon Text"/>
    <w:basedOn w:val="Normal"/>
    <w:semiHidden/>
    <w:rsid w:val="009F68BA"/>
    <w:rPr>
      <w:rFonts w:ascii="Tahoma" w:hAnsi="Tahoma" w:cs="Tahoma"/>
      <w:sz w:val="16"/>
      <w:szCs w:val="16"/>
    </w:rPr>
  </w:style>
  <w:style w:type="paragraph" w:customStyle="1" w:styleId="Level1">
    <w:name w:val="Level 1"/>
    <w:basedOn w:val="Normal"/>
    <w:rsid w:val="009F68BA"/>
    <w:pPr>
      <w:widowControl w:val="0"/>
      <w:numPr>
        <w:numId w:val="1"/>
      </w:numPr>
      <w:autoSpaceDE w:val="0"/>
      <w:autoSpaceDN w:val="0"/>
      <w:adjustRightInd w:val="0"/>
      <w:ind w:left="720" w:hanging="720"/>
      <w:outlineLvl w:val="0"/>
    </w:pPr>
    <w:rPr>
      <w:szCs w:val="24"/>
    </w:rPr>
  </w:style>
  <w:style w:type="paragraph" w:customStyle="1" w:styleId="Level6">
    <w:name w:val="Level 6"/>
    <w:basedOn w:val="Normal"/>
    <w:rsid w:val="009F68BA"/>
    <w:pPr>
      <w:widowControl w:val="0"/>
      <w:numPr>
        <w:ilvl w:val="5"/>
        <w:numId w:val="1"/>
      </w:numPr>
      <w:autoSpaceDE w:val="0"/>
      <w:autoSpaceDN w:val="0"/>
      <w:adjustRightInd w:val="0"/>
      <w:ind w:left="4320" w:hanging="720"/>
      <w:outlineLvl w:val="5"/>
    </w:pPr>
    <w:rPr>
      <w:szCs w:val="24"/>
    </w:rPr>
  </w:style>
  <w:style w:type="paragraph" w:customStyle="1" w:styleId="2AutoList2">
    <w:name w:val="2AutoList2"/>
    <w:rsid w:val="009F68BA"/>
    <w:pPr>
      <w:widowControl w:val="0"/>
      <w:tabs>
        <w:tab w:val="left" w:pos="720"/>
        <w:tab w:val="left" w:pos="1440"/>
      </w:tabs>
      <w:autoSpaceDE w:val="0"/>
      <w:autoSpaceDN w:val="0"/>
      <w:adjustRightInd w:val="0"/>
      <w:ind w:left="1440" w:hanging="720"/>
      <w:jc w:val="both"/>
    </w:pPr>
    <w:rPr>
      <w:rFonts w:ascii="Univers" w:hAnsi="Univers"/>
      <w:szCs w:val="24"/>
      <w:lang w:val="en-US" w:eastAsia="en-US"/>
    </w:rPr>
  </w:style>
  <w:style w:type="table" w:styleId="TableGrid">
    <w:name w:val="Table Grid"/>
    <w:basedOn w:val="TableNormal"/>
    <w:rsid w:val="005F3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FR">
    <w:name w:val="TB_FR"/>
    <w:basedOn w:val="Normal"/>
    <w:rsid w:val="003556F6"/>
    <w:pPr>
      <w:suppressAutoHyphens/>
      <w:spacing w:before="40" w:after="40" w:line="220" w:lineRule="exact"/>
      <w:jc w:val="right"/>
    </w:pPr>
    <w:rPr>
      <w:rFonts w:ascii="IDCSansSerif" w:eastAsia="MS Hei" w:hAnsi="IDCSansSerif"/>
      <w:kern w:val="16"/>
      <w:sz w:val="18"/>
    </w:rPr>
  </w:style>
  <w:style w:type="character" w:styleId="CommentReference">
    <w:name w:val="annotation reference"/>
    <w:basedOn w:val="DefaultParagraphFont"/>
    <w:semiHidden/>
    <w:rsid w:val="003F10F1"/>
    <w:rPr>
      <w:sz w:val="16"/>
      <w:szCs w:val="16"/>
    </w:rPr>
  </w:style>
  <w:style w:type="paragraph" w:styleId="CommentText">
    <w:name w:val="annotation text"/>
    <w:basedOn w:val="Normal"/>
    <w:semiHidden/>
    <w:rsid w:val="003F10F1"/>
  </w:style>
  <w:style w:type="paragraph" w:styleId="CommentSubject">
    <w:name w:val="annotation subject"/>
    <w:basedOn w:val="CommentText"/>
    <w:next w:val="CommentText"/>
    <w:semiHidden/>
    <w:rsid w:val="003F10F1"/>
    <w:rPr>
      <w:b/>
      <w:bCs/>
    </w:rPr>
  </w:style>
  <w:style w:type="paragraph" w:styleId="ListParagraph">
    <w:name w:val="List Paragraph"/>
    <w:basedOn w:val="Normal"/>
    <w:uiPriority w:val="34"/>
    <w:qFormat/>
    <w:rsid w:val="00C64D41"/>
    <w:pPr>
      <w:ind w:left="720"/>
      <w:contextualSpacing/>
    </w:pPr>
  </w:style>
  <w:style w:type="paragraph" w:styleId="NormalWeb">
    <w:name w:val="Normal (Web)"/>
    <w:basedOn w:val="Normal"/>
    <w:uiPriority w:val="99"/>
    <w:unhideWhenUsed/>
    <w:rsid w:val="00745CB5"/>
    <w:pPr>
      <w:spacing w:before="100" w:beforeAutospacing="1" w:after="100" w:afterAutospacing="1"/>
    </w:pPr>
    <w:rPr>
      <w:color w:val="000000"/>
      <w:sz w:val="24"/>
      <w:szCs w:val="24"/>
    </w:rPr>
  </w:style>
  <w:style w:type="character" w:customStyle="1" w:styleId="FooterChar">
    <w:name w:val="Footer Char"/>
    <w:basedOn w:val="DefaultParagraphFont"/>
    <w:link w:val="Footer"/>
    <w:uiPriority w:val="99"/>
    <w:rsid w:val="00C030F1"/>
    <w:rPr>
      <w:lang w:val="en-US" w:eastAsia="en-US"/>
    </w:rPr>
  </w:style>
  <w:style w:type="paragraph" w:customStyle="1" w:styleId="Default">
    <w:name w:val="Default"/>
    <w:rsid w:val="003B55B2"/>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C0ADB"/>
    <w:rPr>
      <w:color w:val="0000FF" w:themeColor="hyperlink"/>
      <w:u w:val="single"/>
    </w:rPr>
  </w:style>
  <w:style w:type="character" w:customStyle="1" w:styleId="mceitemhidden">
    <w:name w:val="mceitemhidden"/>
    <w:basedOn w:val="DefaultParagraphFont"/>
    <w:rsid w:val="002C7E43"/>
  </w:style>
  <w:style w:type="character" w:customStyle="1" w:styleId="hiddenspellerror">
    <w:name w:val="hiddenspellerror"/>
    <w:basedOn w:val="DefaultParagraphFont"/>
    <w:rsid w:val="002C7E43"/>
  </w:style>
  <w:style w:type="character" w:customStyle="1" w:styleId="BodyTextChar">
    <w:name w:val="Body Text Char"/>
    <w:basedOn w:val="DefaultParagraphFont"/>
    <w:link w:val="BodyText"/>
    <w:rsid w:val="00A23B5C"/>
    <w:rPr>
      <w:sz w:val="24"/>
      <w:lang w:val="en-US" w:eastAsia="en-US"/>
    </w:rPr>
  </w:style>
  <w:style w:type="paragraph" w:styleId="Revision">
    <w:name w:val="Revision"/>
    <w:hidden/>
    <w:uiPriority w:val="99"/>
    <w:semiHidden/>
    <w:rsid w:val="007D2E1E"/>
    <w:rPr>
      <w:lang w:val="en-US" w:eastAsia="en-US"/>
    </w:rPr>
  </w:style>
  <w:style w:type="paragraph" w:customStyle="1" w:styleId="1AutoList1">
    <w:name w:val="1AutoList1"/>
    <w:uiPriority w:val="99"/>
    <w:rsid w:val="00A16304"/>
    <w:pPr>
      <w:widowControl w:val="0"/>
      <w:tabs>
        <w:tab w:val="left" w:pos="720"/>
      </w:tabs>
      <w:autoSpaceDE w:val="0"/>
      <w:autoSpaceDN w:val="0"/>
      <w:ind w:left="720" w:hanging="720"/>
      <w:jc w:val="both"/>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30">
      <w:bodyDiv w:val="1"/>
      <w:marLeft w:val="0"/>
      <w:marRight w:val="0"/>
      <w:marTop w:val="0"/>
      <w:marBottom w:val="0"/>
      <w:divBdr>
        <w:top w:val="none" w:sz="0" w:space="0" w:color="auto"/>
        <w:left w:val="none" w:sz="0" w:space="0" w:color="auto"/>
        <w:bottom w:val="none" w:sz="0" w:space="0" w:color="auto"/>
        <w:right w:val="none" w:sz="0" w:space="0" w:color="auto"/>
      </w:divBdr>
    </w:div>
    <w:div w:id="10572530">
      <w:bodyDiv w:val="1"/>
      <w:marLeft w:val="0"/>
      <w:marRight w:val="0"/>
      <w:marTop w:val="0"/>
      <w:marBottom w:val="0"/>
      <w:divBdr>
        <w:top w:val="none" w:sz="0" w:space="0" w:color="auto"/>
        <w:left w:val="none" w:sz="0" w:space="0" w:color="auto"/>
        <w:bottom w:val="none" w:sz="0" w:space="0" w:color="auto"/>
        <w:right w:val="none" w:sz="0" w:space="0" w:color="auto"/>
      </w:divBdr>
    </w:div>
    <w:div w:id="15663603">
      <w:bodyDiv w:val="1"/>
      <w:marLeft w:val="0"/>
      <w:marRight w:val="0"/>
      <w:marTop w:val="0"/>
      <w:marBottom w:val="0"/>
      <w:divBdr>
        <w:top w:val="none" w:sz="0" w:space="0" w:color="auto"/>
        <w:left w:val="none" w:sz="0" w:space="0" w:color="auto"/>
        <w:bottom w:val="none" w:sz="0" w:space="0" w:color="auto"/>
        <w:right w:val="none" w:sz="0" w:space="0" w:color="auto"/>
      </w:divBdr>
    </w:div>
    <w:div w:id="15932128">
      <w:bodyDiv w:val="1"/>
      <w:marLeft w:val="0"/>
      <w:marRight w:val="0"/>
      <w:marTop w:val="0"/>
      <w:marBottom w:val="0"/>
      <w:divBdr>
        <w:top w:val="none" w:sz="0" w:space="0" w:color="auto"/>
        <w:left w:val="none" w:sz="0" w:space="0" w:color="auto"/>
        <w:bottom w:val="none" w:sz="0" w:space="0" w:color="auto"/>
        <w:right w:val="none" w:sz="0" w:space="0" w:color="auto"/>
      </w:divBdr>
    </w:div>
    <w:div w:id="25061056">
      <w:bodyDiv w:val="1"/>
      <w:marLeft w:val="0"/>
      <w:marRight w:val="0"/>
      <w:marTop w:val="0"/>
      <w:marBottom w:val="0"/>
      <w:divBdr>
        <w:top w:val="none" w:sz="0" w:space="0" w:color="auto"/>
        <w:left w:val="none" w:sz="0" w:space="0" w:color="auto"/>
        <w:bottom w:val="none" w:sz="0" w:space="0" w:color="auto"/>
        <w:right w:val="none" w:sz="0" w:space="0" w:color="auto"/>
      </w:divBdr>
    </w:div>
    <w:div w:id="45423018">
      <w:bodyDiv w:val="1"/>
      <w:marLeft w:val="0"/>
      <w:marRight w:val="0"/>
      <w:marTop w:val="0"/>
      <w:marBottom w:val="0"/>
      <w:divBdr>
        <w:top w:val="none" w:sz="0" w:space="0" w:color="auto"/>
        <w:left w:val="none" w:sz="0" w:space="0" w:color="auto"/>
        <w:bottom w:val="none" w:sz="0" w:space="0" w:color="auto"/>
        <w:right w:val="none" w:sz="0" w:space="0" w:color="auto"/>
      </w:divBdr>
    </w:div>
    <w:div w:id="58331110">
      <w:bodyDiv w:val="1"/>
      <w:marLeft w:val="0"/>
      <w:marRight w:val="0"/>
      <w:marTop w:val="0"/>
      <w:marBottom w:val="0"/>
      <w:divBdr>
        <w:top w:val="none" w:sz="0" w:space="0" w:color="auto"/>
        <w:left w:val="none" w:sz="0" w:space="0" w:color="auto"/>
        <w:bottom w:val="none" w:sz="0" w:space="0" w:color="auto"/>
        <w:right w:val="none" w:sz="0" w:space="0" w:color="auto"/>
      </w:divBdr>
    </w:div>
    <w:div w:id="82648725">
      <w:bodyDiv w:val="1"/>
      <w:marLeft w:val="0"/>
      <w:marRight w:val="0"/>
      <w:marTop w:val="0"/>
      <w:marBottom w:val="0"/>
      <w:divBdr>
        <w:top w:val="none" w:sz="0" w:space="0" w:color="auto"/>
        <w:left w:val="none" w:sz="0" w:space="0" w:color="auto"/>
        <w:bottom w:val="none" w:sz="0" w:space="0" w:color="auto"/>
        <w:right w:val="none" w:sz="0" w:space="0" w:color="auto"/>
      </w:divBdr>
    </w:div>
    <w:div w:id="91244127">
      <w:bodyDiv w:val="1"/>
      <w:marLeft w:val="0"/>
      <w:marRight w:val="0"/>
      <w:marTop w:val="0"/>
      <w:marBottom w:val="0"/>
      <w:divBdr>
        <w:top w:val="none" w:sz="0" w:space="0" w:color="auto"/>
        <w:left w:val="none" w:sz="0" w:space="0" w:color="auto"/>
        <w:bottom w:val="none" w:sz="0" w:space="0" w:color="auto"/>
        <w:right w:val="none" w:sz="0" w:space="0" w:color="auto"/>
      </w:divBdr>
    </w:div>
    <w:div w:id="96676452">
      <w:bodyDiv w:val="1"/>
      <w:marLeft w:val="0"/>
      <w:marRight w:val="0"/>
      <w:marTop w:val="0"/>
      <w:marBottom w:val="0"/>
      <w:divBdr>
        <w:top w:val="none" w:sz="0" w:space="0" w:color="auto"/>
        <w:left w:val="none" w:sz="0" w:space="0" w:color="auto"/>
        <w:bottom w:val="none" w:sz="0" w:space="0" w:color="auto"/>
        <w:right w:val="none" w:sz="0" w:space="0" w:color="auto"/>
      </w:divBdr>
    </w:div>
    <w:div w:id="101145192">
      <w:bodyDiv w:val="1"/>
      <w:marLeft w:val="0"/>
      <w:marRight w:val="0"/>
      <w:marTop w:val="0"/>
      <w:marBottom w:val="0"/>
      <w:divBdr>
        <w:top w:val="none" w:sz="0" w:space="0" w:color="auto"/>
        <w:left w:val="none" w:sz="0" w:space="0" w:color="auto"/>
        <w:bottom w:val="none" w:sz="0" w:space="0" w:color="auto"/>
        <w:right w:val="none" w:sz="0" w:space="0" w:color="auto"/>
      </w:divBdr>
    </w:div>
    <w:div w:id="118233362">
      <w:bodyDiv w:val="1"/>
      <w:marLeft w:val="0"/>
      <w:marRight w:val="0"/>
      <w:marTop w:val="0"/>
      <w:marBottom w:val="0"/>
      <w:divBdr>
        <w:top w:val="none" w:sz="0" w:space="0" w:color="auto"/>
        <w:left w:val="none" w:sz="0" w:space="0" w:color="auto"/>
        <w:bottom w:val="none" w:sz="0" w:space="0" w:color="auto"/>
        <w:right w:val="none" w:sz="0" w:space="0" w:color="auto"/>
      </w:divBdr>
    </w:div>
    <w:div w:id="183449388">
      <w:bodyDiv w:val="1"/>
      <w:marLeft w:val="0"/>
      <w:marRight w:val="0"/>
      <w:marTop w:val="0"/>
      <w:marBottom w:val="0"/>
      <w:divBdr>
        <w:top w:val="none" w:sz="0" w:space="0" w:color="auto"/>
        <w:left w:val="none" w:sz="0" w:space="0" w:color="auto"/>
        <w:bottom w:val="none" w:sz="0" w:space="0" w:color="auto"/>
        <w:right w:val="none" w:sz="0" w:space="0" w:color="auto"/>
      </w:divBdr>
    </w:div>
    <w:div w:id="189143814">
      <w:bodyDiv w:val="1"/>
      <w:marLeft w:val="0"/>
      <w:marRight w:val="0"/>
      <w:marTop w:val="0"/>
      <w:marBottom w:val="0"/>
      <w:divBdr>
        <w:top w:val="none" w:sz="0" w:space="0" w:color="auto"/>
        <w:left w:val="none" w:sz="0" w:space="0" w:color="auto"/>
        <w:bottom w:val="none" w:sz="0" w:space="0" w:color="auto"/>
        <w:right w:val="none" w:sz="0" w:space="0" w:color="auto"/>
      </w:divBdr>
    </w:div>
    <w:div w:id="242879632">
      <w:bodyDiv w:val="1"/>
      <w:marLeft w:val="0"/>
      <w:marRight w:val="0"/>
      <w:marTop w:val="0"/>
      <w:marBottom w:val="0"/>
      <w:divBdr>
        <w:top w:val="none" w:sz="0" w:space="0" w:color="auto"/>
        <w:left w:val="none" w:sz="0" w:space="0" w:color="auto"/>
        <w:bottom w:val="none" w:sz="0" w:space="0" w:color="auto"/>
        <w:right w:val="none" w:sz="0" w:space="0" w:color="auto"/>
      </w:divBdr>
    </w:div>
    <w:div w:id="270279945">
      <w:bodyDiv w:val="1"/>
      <w:marLeft w:val="0"/>
      <w:marRight w:val="0"/>
      <w:marTop w:val="0"/>
      <w:marBottom w:val="0"/>
      <w:divBdr>
        <w:top w:val="none" w:sz="0" w:space="0" w:color="auto"/>
        <w:left w:val="none" w:sz="0" w:space="0" w:color="auto"/>
        <w:bottom w:val="none" w:sz="0" w:space="0" w:color="auto"/>
        <w:right w:val="none" w:sz="0" w:space="0" w:color="auto"/>
      </w:divBdr>
    </w:div>
    <w:div w:id="275529159">
      <w:bodyDiv w:val="1"/>
      <w:marLeft w:val="0"/>
      <w:marRight w:val="0"/>
      <w:marTop w:val="0"/>
      <w:marBottom w:val="0"/>
      <w:divBdr>
        <w:top w:val="none" w:sz="0" w:space="0" w:color="auto"/>
        <w:left w:val="none" w:sz="0" w:space="0" w:color="auto"/>
        <w:bottom w:val="none" w:sz="0" w:space="0" w:color="auto"/>
        <w:right w:val="none" w:sz="0" w:space="0" w:color="auto"/>
      </w:divBdr>
    </w:div>
    <w:div w:id="289439327">
      <w:bodyDiv w:val="1"/>
      <w:marLeft w:val="0"/>
      <w:marRight w:val="0"/>
      <w:marTop w:val="0"/>
      <w:marBottom w:val="0"/>
      <w:divBdr>
        <w:top w:val="none" w:sz="0" w:space="0" w:color="auto"/>
        <w:left w:val="none" w:sz="0" w:space="0" w:color="auto"/>
        <w:bottom w:val="none" w:sz="0" w:space="0" w:color="auto"/>
        <w:right w:val="none" w:sz="0" w:space="0" w:color="auto"/>
      </w:divBdr>
    </w:div>
    <w:div w:id="317727666">
      <w:bodyDiv w:val="1"/>
      <w:marLeft w:val="0"/>
      <w:marRight w:val="0"/>
      <w:marTop w:val="0"/>
      <w:marBottom w:val="0"/>
      <w:divBdr>
        <w:top w:val="none" w:sz="0" w:space="0" w:color="auto"/>
        <w:left w:val="none" w:sz="0" w:space="0" w:color="auto"/>
        <w:bottom w:val="none" w:sz="0" w:space="0" w:color="auto"/>
        <w:right w:val="none" w:sz="0" w:space="0" w:color="auto"/>
      </w:divBdr>
    </w:div>
    <w:div w:id="362170327">
      <w:bodyDiv w:val="1"/>
      <w:marLeft w:val="0"/>
      <w:marRight w:val="0"/>
      <w:marTop w:val="0"/>
      <w:marBottom w:val="0"/>
      <w:divBdr>
        <w:top w:val="none" w:sz="0" w:space="0" w:color="auto"/>
        <w:left w:val="none" w:sz="0" w:space="0" w:color="auto"/>
        <w:bottom w:val="none" w:sz="0" w:space="0" w:color="auto"/>
        <w:right w:val="none" w:sz="0" w:space="0" w:color="auto"/>
      </w:divBdr>
    </w:div>
    <w:div w:id="419568009">
      <w:bodyDiv w:val="1"/>
      <w:marLeft w:val="0"/>
      <w:marRight w:val="0"/>
      <w:marTop w:val="0"/>
      <w:marBottom w:val="0"/>
      <w:divBdr>
        <w:top w:val="none" w:sz="0" w:space="0" w:color="auto"/>
        <w:left w:val="none" w:sz="0" w:space="0" w:color="auto"/>
        <w:bottom w:val="none" w:sz="0" w:space="0" w:color="auto"/>
        <w:right w:val="none" w:sz="0" w:space="0" w:color="auto"/>
      </w:divBdr>
    </w:div>
    <w:div w:id="421990478">
      <w:bodyDiv w:val="1"/>
      <w:marLeft w:val="0"/>
      <w:marRight w:val="0"/>
      <w:marTop w:val="0"/>
      <w:marBottom w:val="0"/>
      <w:divBdr>
        <w:top w:val="none" w:sz="0" w:space="0" w:color="auto"/>
        <w:left w:val="none" w:sz="0" w:space="0" w:color="auto"/>
        <w:bottom w:val="none" w:sz="0" w:space="0" w:color="auto"/>
        <w:right w:val="none" w:sz="0" w:space="0" w:color="auto"/>
      </w:divBdr>
    </w:div>
    <w:div w:id="428503598">
      <w:bodyDiv w:val="1"/>
      <w:marLeft w:val="0"/>
      <w:marRight w:val="0"/>
      <w:marTop w:val="0"/>
      <w:marBottom w:val="0"/>
      <w:divBdr>
        <w:top w:val="none" w:sz="0" w:space="0" w:color="auto"/>
        <w:left w:val="none" w:sz="0" w:space="0" w:color="auto"/>
        <w:bottom w:val="none" w:sz="0" w:space="0" w:color="auto"/>
        <w:right w:val="none" w:sz="0" w:space="0" w:color="auto"/>
      </w:divBdr>
    </w:div>
    <w:div w:id="436371440">
      <w:bodyDiv w:val="1"/>
      <w:marLeft w:val="0"/>
      <w:marRight w:val="0"/>
      <w:marTop w:val="0"/>
      <w:marBottom w:val="0"/>
      <w:divBdr>
        <w:top w:val="none" w:sz="0" w:space="0" w:color="auto"/>
        <w:left w:val="none" w:sz="0" w:space="0" w:color="auto"/>
        <w:bottom w:val="none" w:sz="0" w:space="0" w:color="auto"/>
        <w:right w:val="none" w:sz="0" w:space="0" w:color="auto"/>
      </w:divBdr>
    </w:div>
    <w:div w:id="444932898">
      <w:bodyDiv w:val="1"/>
      <w:marLeft w:val="0"/>
      <w:marRight w:val="0"/>
      <w:marTop w:val="0"/>
      <w:marBottom w:val="0"/>
      <w:divBdr>
        <w:top w:val="none" w:sz="0" w:space="0" w:color="auto"/>
        <w:left w:val="none" w:sz="0" w:space="0" w:color="auto"/>
        <w:bottom w:val="none" w:sz="0" w:space="0" w:color="auto"/>
        <w:right w:val="none" w:sz="0" w:space="0" w:color="auto"/>
      </w:divBdr>
    </w:div>
    <w:div w:id="463277039">
      <w:bodyDiv w:val="1"/>
      <w:marLeft w:val="0"/>
      <w:marRight w:val="0"/>
      <w:marTop w:val="0"/>
      <w:marBottom w:val="0"/>
      <w:divBdr>
        <w:top w:val="none" w:sz="0" w:space="0" w:color="auto"/>
        <w:left w:val="none" w:sz="0" w:space="0" w:color="auto"/>
        <w:bottom w:val="none" w:sz="0" w:space="0" w:color="auto"/>
        <w:right w:val="none" w:sz="0" w:space="0" w:color="auto"/>
      </w:divBdr>
    </w:div>
    <w:div w:id="471093210">
      <w:bodyDiv w:val="1"/>
      <w:marLeft w:val="0"/>
      <w:marRight w:val="0"/>
      <w:marTop w:val="0"/>
      <w:marBottom w:val="0"/>
      <w:divBdr>
        <w:top w:val="none" w:sz="0" w:space="0" w:color="auto"/>
        <w:left w:val="none" w:sz="0" w:space="0" w:color="auto"/>
        <w:bottom w:val="none" w:sz="0" w:space="0" w:color="auto"/>
        <w:right w:val="none" w:sz="0" w:space="0" w:color="auto"/>
      </w:divBdr>
    </w:div>
    <w:div w:id="488786589">
      <w:bodyDiv w:val="1"/>
      <w:marLeft w:val="0"/>
      <w:marRight w:val="0"/>
      <w:marTop w:val="0"/>
      <w:marBottom w:val="0"/>
      <w:divBdr>
        <w:top w:val="none" w:sz="0" w:space="0" w:color="auto"/>
        <w:left w:val="none" w:sz="0" w:space="0" w:color="auto"/>
        <w:bottom w:val="none" w:sz="0" w:space="0" w:color="auto"/>
        <w:right w:val="none" w:sz="0" w:space="0" w:color="auto"/>
      </w:divBdr>
    </w:div>
    <w:div w:id="513299628">
      <w:bodyDiv w:val="1"/>
      <w:marLeft w:val="0"/>
      <w:marRight w:val="0"/>
      <w:marTop w:val="0"/>
      <w:marBottom w:val="0"/>
      <w:divBdr>
        <w:top w:val="none" w:sz="0" w:space="0" w:color="auto"/>
        <w:left w:val="none" w:sz="0" w:space="0" w:color="auto"/>
        <w:bottom w:val="none" w:sz="0" w:space="0" w:color="auto"/>
        <w:right w:val="none" w:sz="0" w:space="0" w:color="auto"/>
      </w:divBdr>
    </w:div>
    <w:div w:id="548226784">
      <w:bodyDiv w:val="1"/>
      <w:marLeft w:val="0"/>
      <w:marRight w:val="0"/>
      <w:marTop w:val="0"/>
      <w:marBottom w:val="0"/>
      <w:divBdr>
        <w:top w:val="none" w:sz="0" w:space="0" w:color="auto"/>
        <w:left w:val="none" w:sz="0" w:space="0" w:color="auto"/>
        <w:bottom w:val="none" w:sz="0" w:space="0" w:color="auto"/>
        <w:right w:val="none" w:sz="0" w:space="0" w:color="auto"/>
      </w:divBdr>
    </w:div>
    <w:div w:id="553779353">
      <w:bodyDiv w:val="1"/>
      <w:marLeft w:val="0"/>
      <w:marRight w:val="0"/>
      <w:marTop w:val="0"/>
      <w:marBottom w:val="0"/>
      <w:divBdr>
        <w:top w:val="none" w:sz="0" w:space="0" w:color="auto"/>
        <w:left w:val="none" w:sz="0" w:space="0" w:color="auto"/>
        <w:bottom w:val="none" w:sz="0" w:space="0" w:color="auto"/>
        <w:right w:val="none" w:sz="0" w:space="0" w:color="auto"/>
      </w:divBdr>
    </w:div>
    <w:div w:id="571546199">
      <w:bodyDiv w:val="1"/>
      <w:marLeft w:val="0"/>
      <w:marRight w:val="0"/>
      <w:marTop w:val="0"/>
      <w:marBottom w:val="0"/>
      <w:divBdr>
        <w:top w:val="none" w:sz="0" w:space="0" w:color="auto"/>
        <w:left w:val="none" w:sz="0" w:space="0" w:color="auto"/>
        <w:bottom w:val="none" w:sz="0" w:space="0" w:color="auto"/>
        <w:right w:val="none" w:sz="0" w:space="0" w:color="auto"/>
      </w:divBdr>
    </w:div>
    <w:div w:id="583926622">
      <w:bodyDiv w:val="1"/>
      <w:marLeft w:val="0"/>
      <w:marRight w:val="0"/>
      <w:marTop w:val="0"/>
      <w:marBottom w:val="0"/>
      <w:divBdr>
        <w:top w:val="none" w:sz="0" w:space="0" w:color="auto"/>
        <w:left w:val="none" w:sz="0" w:space="0" w:color="auto"/>
        <w:bottom w:val="none" w:sz="0" w:space="0" w:color="auto"/>
        <w:right w:val="none" w:sz="0" w:space="0" w:color="auto"/>
      </w:divBdr>
    </w:div>
    <w:div w:id="601911505">
      <w:bodyDiv w:val="1"/>
      <w:marLeft w:val="0"/>
      <w:marRight w:val="0"/>
      <w:marTop w:val="0"/>
      <w:marBottom w:val="0"/>
      <w:divBdr>
        <w:top w:val="none" w:sz="0" w:space="0" w:color="auto"/>
        <w:left w:val="none" w:sz="0" w:space="0" w:color="auto"/>
        <w:bottom w:val="none" w:sz="0" w:space="0" w:color="auto"/>
        <w:right w:val="none" w:sz="0" w:space="0" w:color="auto"/>
      </w:divBdr>
    </w:div>
    <w:div w:id="603879272">
      <w:bodyDiv w:val="1"/>
      <w:marLeft w:val="0"/>
      <w:marRight w:val="0"/>
      <w:marTop w:val="0"/>
      <w:marBottom w:val="0"/>
      <w:divBdr>
        <w:top w:val="none" w:sz="0" w:space="0" w:color="auto"/>
        <w:left w:val="none" w:sz="0" w:space="0" w:color="auto"/>
        <w:bottom w:val="none" w:sz="0" w:space="0" w:color="auto"/>
        <w:right w:val="none" w:sz="0" w:space="0" w:color="auto"/>
      </w:divBdr>
    </w:div>
    <w:div w:id="609581928">
      <w:bodyDiv w:val="1"/>
      <w:marLeft w:val="0"/>
      <w:marRight w:val="0"/>
      <w:marTop w:val="0"/>
      <w:marBottom w:val="0"/>
      <w:divBdr>
        <w:top w:val="none" w:sz="0" w:space="0" w:color="auto"/>
        <w:left w:val="none" w:sz="0" w:space="0" w:color="auto"/>
        <w:bottom w:val="none" w:sz="0" w:space="0" w:color="auto"/>
        <w:right w:val="none" w:sz="0" w:space="0" w:color="auto"/>
      </w:divBdr>
    </w:div>
    <w:div w:id="615908723">
      <w:bodyDiv w:val="1"/>
      <w:marLeft w:val="0"/>
      <w:marRight w:val="0"/>
      <w:marTop w:val="0"/>
      <w:marBottom w:val="0"/>
      <w:divBdr>
        <w:top w:val="none" w:sz="0" w:space="0" w:color="auto"/>
        <w:left w:val="none" w:sz="0" w:space="0" w:color="auto"/>
        <w:bottom w:val="none" w:sz="0" w:space="0" w:color="auto"/>
        <w:right w:val="none" w:sz="0" w:space="0" w:color="auto"/>
      </w:divBdr>
    </w:div>
    <w:div w:id="683048760">
      <w:bodyDiv w:val="1"/>
      <w:marLeft w:val="0"/>
      <w:marRight w:val="0"/>
      <w:marTop w:val="0"/>
      <w:marBottom w:val="0"/>
      <w:divBdr>
        <w:top w:val="none" w:sz="0" w:space="0" w:color="auto"/>
        <w:left w:val="none" w:sz="0" w:space="0" w:color="auto"/>
        <w:bottom w:val="none" w:sz="0" w:space="0" w:color="auto"/>
        <w:right w:val="none" w:sz="0" w:space="0" w:color="auto"/>
      </w:divBdr>
    </w:div>
    <w:div w:id="721713972">
      <w:bodyDiv w:val="1"/>
      <w:marLeft w:val="0"/>
      <w:marRight w:val="0"/>
      <w:marTop w:val="0"/>
      <w:marBottom w:val="0"/>
      <w:divBdr>
        <w:top w:val="none" w:sz="0" w:space="0" w:color="auto"/>
        <w:left w:val="none" w:sz="0" w:space="0" w:color="auto"/>
        <w:bottom w:val="none" w:sz="0" w:space="0" w:color="auto"/>
        <w:right w:val="none" w:sz="0" w:space="0" w:color="auto"/>
      </w:divBdr>
    </w:div>
    <w:div w:id="728109412">
      <w:bodyDiv w:val="1"/>
      <w:marLeft w:val="0"/>
      <w:marRight w:val="0"/>
      <w:marTop w:val="0"/>
      <w:marBottom w:val="0"/>
      <w:divBdr>
        <w:top w:val="none" w:sz="0" w:space="0" w:color="auto"/>
        <w:left w:val="none" w:sz="0" w:space="0" w:color="auto"/>
        <w:bottom w:val="none" w:sz="0" w:space="0" w:color="auto"/>
        <w:right w:val="none" w:sz="0" w:space="0" w:color="auto"/>
      </w:divBdr>
    </w:div>
    <w:div w:id="759642088">
      <w:bodyDiv w:val="1"/>
      <w:marLeft w:val="0"/>
      <w:marRight w:val="0"/>
      <w:marTop w:val="0"/>
      <w:marBottom w:val="0"/>
      <w:divBdr>
        <w:top w:val="none" w:sz="0" w:space="0" w:color="auto"/>
        <w:left w:val="none" w:sz="0" w:space="0" w:color="auto"/>
        <w:bottom w:val="none" w:sz="0" w:space="0" w:color="auto"/>
        <w:right w:val="none" w:sz="0" w:space="0" w:color="auto"/>
      </w:divBdr>
    </w:div>
    <w:div w:id="774521964">
      <w:bodyDiv w:val="1"/>
      <w:marLeft w:val="0"/>
      <w:marRight w:val="0"/>
      <w:marTop w:val="0"/>
      <w:marBottom w:val="0"/>
      <w:divBdr>
        <w:top w:val="none" w:sz="0" w:space="0" w:color="auto"/>
        <w:left w:val="none" w:sz="0" w:space="0" w:color="auto"/>
        <w:bottom w:val="none" w:sz="0" w:space="0" w:color="auto"/>
        <w:right w:val="none" w:sz="0" w:space="0" w:color="auto"/>
      </w:divBdr>
    </w:div>
    <w:div w:id="813257720">
      <w:bodyDiv w:val="1"/>
      <w:marLeft w:val="0"/>
      <w:marRight w:val="0"/>
      <w:marTop w:val="0"/>
      <w:marBottom w:val="0"/>
      <w:divBdr>
        <w:top w:val="none" w:sz="0" w:space="0" w:color="auto"/>
        <w:left w:val="none" w:sz="0" w:space="0" w:color="auto"/>
        <w:bottom w:val="none" w:sz="0" w:space="0" w:color="auto"/>
        <w:right w:val="none" w:sz="0" w:space="0" w:color="auto"/>
      </w:divBdr>
    </w:div>
    <w:div w:id="839351079">
      <w:bodyDiv w:val="1"/>
      <w:marLeft w:val="0"/>
      <w:marRight w:val="0"/>
      <w:marTop w:val="0"/>
      <w:marBottom w:val="0"/>
      <w:divBdr>
        <w:top w:val="none" w:sz="0" w:space="0" w:color="auto"/>
        <w:left w:val="none" w:sz="0" w:space="0" w:color="auto"/>
        <w:bottom w:val="none" w:sz="0" w:space="0" w:color="auto"/>
        <w:right w:val="none" w:sz="0" w:space="0" w:color="auto"/>
      </w:divBdr>
    </w:div>
    <w:div w:id="841050021">
      <w:bodyDiv w:val="1"/>
      <w:marLeft w:val="0"/>
      <w:marRight w:val="0"/>
      <w:marTop w:val="0"/>
      <w:marBottom w:val="0"/>
      <w:divBdr>
        <w:top w:val="none" w:sz="0" w:space="0" w:color="auto"/>
        <w:left w:val="none" w:sz="0" w:space="0" w:color="auto"/>
        <w:bottom w:val="none" w:sz="0" w:space="0" w:color="auto"/>
        <w:right w:val="none" w:sz="0" w:space="0" w:color="auto"/>
      </w:divBdr>
    </w:div>
    <w:div w:id="856768523">
      <w:bodyDiv w:val="1"/>
      <w:marLeft w:val="0"/>
      <w:marRight w:val="0"/>
      <w:marTop w:val="0"/>
      <w:marBottom w:val="0"/>
      <w:divBdr>
        <w:top w:val="none" w:sz="0" w:space="0" w:color="auto"/>
        <w:left w:val="none" w:sz="0" w:space="0" w:color="auto"/>
        <w:bottom w:val="none" w:sz="0" w:space="0" w:color="auto"/>
        <w:right w:val="none" w:sz="0" w:space="0" w:color="auto"/>
      </w:divBdr>
    </w:div>
    <w:div w:id="863713115">
      <w:bodyDiv w:val="1"/>
      <w:marLeft w:val="0"/>
      <w:marRight w:val="0"/>
      <w:marTop w:val="0"/>
      <w:marBottom w:val="0"/>
      <w:divBdr>
        <w:top w:val="none" w:sz="0" w:space="0" w:color="auto"/>
        <w:left w:val="none" w:sz="0" w:space="0" w:color="auto"/>
        <w:bottom w:val="none" w:sz="0" w:space="0" w:color="auto"/>
        <w:right w:val="none" w:sz="0" w:space="0" w:color="auto"/>
      </w:divBdr>
    </w:div>
    <w:div w:id="874805574">
      <w:bodyDiv w:val="1"/>
      <w:marLeft w:val="0"/>
      <w:marRight w:val="0"/>
      <w:marTop w:val="0"/>
      <w:marBottom w:val="0"/>
      <w:divBdr>
        <w:top w:val="none" w:sz="0" w:space="0" w:color="auto"/>
        <w:left w:val="none" w:sz="0" w:space="0" w:color="auto"/>
        <w:bottom w:val="none" w:sz="0" w:space="0" w:color="auto"/>
        <w:right w:val="none" w:sz="0" w:space="0" w:color="auto"/>
      </w:divBdr>
    </w:div>
    <w:div w:id="875315150">
      <w:bodyDiv w:val="1"/>
      <w:marLeft w:val="0"/>
      <w:marRight w:val="0"/>
      <w:marTop w:val="0"/>
      <w:marBottom w:val="0"/>
      <w:divBdr>
        <w:top w:val="none" w:sz="0" w:space="0" w:color="auto"/>
        <w:left w:val="none" w:sz="0" w:space="0" w:color="auto"/>
        <w:bottom w:val="none" w:sz="0" w:space="0" w:color="auto"/>
        <w:right w:val="none" w:sz="0" w:space="0" w:color="auto"/>
      </w:divBdr>
    </w:div>
    <w:div w:id="883755100">
      <w:bodyDiv w:val="1"/>
      <w:marLeft w:val="0"/>
      <w:marRight w:val="0"/>
      <w:marTop w:val="0"/>
      <w:marBottom w:val="0"/>
      <w:divBdr>
        <w:top w:val="none" w:sz="0" w:space="0" w:color="auto"/>
        <w:left w:val="none" w:sz="0" w:space="0" w:color="auto"/>
        <w:bottom w:val="none" w:sz="0" w:space="0" w:color="auto"/>
        <w:right w:val="none" w:sz="0" w:space="0" w:color="auto"/>
      </w:divBdr>
    </w:div>
    <w:div w:id="894659468">
      <w:bodyDiv w:val="1"/>
      <w:marLeft w:val="0"/>
      <w:marRight w:val="0"/>
      <w:marTop w:val="0"/>
      <w:marBottom w:val="0"/>
      <w:divBdr>
        <w:top w:val="none" w:sz="0" w:space="0" w:color="auto"/>
        <w:left w:val="none" w:sz="0" w:space="0" w:color="auto"/>
        <w:bottom w:val="none" w:sz="0" w:space="0" w:color="auto"/>
        <w:right w:val="none" w:sz="0" w:space="0" w:color="auto"/>
      </w:divBdr>
    </w:div>
    <w:div w:id="899748871">
      <w:bodyDiv w:val="1"/>
      <w:marLeft w:val="0"/>
      <w:marRight w:val="0"/>
      <w:marTop w:val="0"/>
      <w:marBottom w:val="0"/>
      <w:divBdr>
        <w:top w:val="none" w:sz="0" w:space="0" w:color="auto"/>
        <w:left w:val="none" w:sz="0" w:space="0" w:color="auto"/>
        <w:bottom w:val="none" w:sz="0" w:space="0" w:color="auto"/>
        <w:right w:val="none" w:sz="0" w:space="0" w:color="auto"/>
      </w:divBdr>
    </w:div>
    <w:div w:id="938215764">
      <w:bodyDiv w:val="1"/>
      <w:marLeft w:val="0"/>
      <w:marRight w:val="0"/>
      <w:marTop w:val="0"/>
      <w:marBottom w:val="0"/>
      <w:divBdr>
        <w:top w:val="none" w:sz="0" w:space="0" w:color="auto"/>
        <w:left w:val="none" w:sz="0" w:space="0" w:color="auto"/>
        <w:bottom w:val="none" w:sz="0" w:space="0" w:color="auto"/>
        <w:right w:val="none" w:sz="0" w:space="0" w:color="auto"/>
      </w:divBdr>
    </w:div>
    <w:div w:id="949629501">
      <w:bodyDiv w:val="1"/>
      <w:marLeft w:val="0"/>
      <w:marRight w:val="0"/>
      <w:marTop w:val="0"/>
      <w:marBottom w:val="0"/>
      <w:divBdr>
        <w:top w:val="none" w:sz="0" w:space="0" w:color="auto"/>
        <w:left w:val="none" w:sz="0" w:space="0" w:color="auto"/>
        <w:bottom w:val="none" w:sz="0" w:space="0" w:color="auto"/>
        <w:right w:val="none" w:sz="0" w:space="0" w:color="auto"/>
      </w:divBdr>
    </w:div>
    <w:div w:id="996032869">
      <w:bodyDiv w:val="1"/>
      <w:marLeft w:val="0"/>
      <w:marRight w:val="0"/>
      <w:marTop w:val="0"/>
      <w:marBottom w:val="0"/>
      <w:divBdr>
        <w:top w:val="none" w:sz="0" w:space="0" w:color="auto"/>
        <w:left w:val="none" w:sz="0" w:space="0" w:color="auto"/>
        <w:bottom w:val="none" w:sz="0" w:space="0" w:color="auto"/>
        <w:right w:val="none" w:sz="0" w:space="0" w:color="auto"/>
      </w:divBdr>
    </w:div>
    <w:div w:id="1026980969">
      <w:bodyDiv w:val="1"/>
      <w:marLeft w:val="0"/>
      <w:marRight w:val="0"/>
      <w:marTop w:val="0"/>
      <w:marBottom w:val="0"/>
      <w:divBdr>
        <w:top w:val="none" w:sz="0" w:space="0" w:color="auto"/>
        <w:left w:val="none" w:sz="0" w:space="0" w:color="auto"/>
        <w:bottom w:val="none" w:sz="0" w:space="0" w:color="auto"/>
        <w:right w:val="none" w:sz="0" w:space="0" w:color="auto"/>
      </w:divBdr>
    </w:div>
    <w:div w:id="1056204870">
      <w:bodyDiv w:val="1"/>
      <w:marLeft w:val="0"/>
      <w:marRight w:val="0"/>
      <w:marTop w:val="0"/>
      <w:marBottom w:val="0"/>
      <w:divBdr>
        <w:top w:val="none" w:sz="0" w:space="0" w:color="auto"/>
        <w:left w:val="none" w:sz="0" w:space="0" w:color="auto"/>
        <w:bottom w:val="none" w:sz="0" w:space="0" w:color="auto"/>
        <w:right w:val="none" w:sz="0" w:space="0" w:color="auto"/>
      </w:divBdr>
    </w:div>
    <w:div w:id="1057359076">
      <w:bodyDiv w:val="1"/>
      <w:marLeft w:val="0"/>
      <w:marRight w:val="0"/>
      <w:marTop w:val="0"/>
      <w:marBottom w:val="0"/>
      <w:divBdr>
        <w:top w:val="none" w:sz="0" w:space="0" w:color="auto"/>
        <w:left w:val="none" w:sz="0" w:space="0" w:color="auto"/>
        <w:bottom w:val="none" w:sz="0" w:space="0" w:color="auto"/>
        <w:right w:val="none" w:sz="0" w:space="0" w:color="auto"/>
      </w:divBdr>
    </w:div>
    <w:div w:id="1062098198">
      <w:bodyDiv w:val="1"/>
      <w:marLeft w:val="0"/>
      <w:marRight w:val="0"/>
      <w:marTop w:val="0"/>
      <w:marBottom w:val="0"/>
      <w:divBdr>
        <w:top w:val="none" w:sz="0" w:space="0" w:color="auto"/>
        <w:left w:val="none" w:sz="0" w:space="0" w:color="auto"/>
        <w:bottom w:val="none" w:sz="0" w:space="0" w:color="auto"/>
        <w:right w:val="none" w:sz="0" w:space="0" w:color="auto"/>
      </w:divBdr>
    </w:div>
    <w:div w:id="1066605242">
      <w:bodyDiv w:val="1"/>
      <w:marLeft w:val="0"/>
      <w:marRight w:val="0"/>
      <w:marTop w:val="0"/>
      <w:marBottom w:val="0"/>
      <w:divBdr>
        <w:top w:val="none" w:sz="0" w:space="0" w:color="auto"/>
        <w:left w:val="none" w:sz="0" w:space="0" w:color="auto"/>
        <w:bottom w:val="none" w:sz="0" w:space="0" w:color="auto"/>
        <w:right w:val="none" w:sz="0" w:space="0" w:color="auto"/>
      </w:divBdr>
    </w:div>
    <w:div w:id="1067072121">
      <w:bodyDiv w:val="1"/>
      <w:marLeft w:val="0"/>
      <w:marRight w:val="0"/>
      <w:marTop w:val="0"/>
      <w:marBottom w:val="0"/>
      <w:divBdr>
        <w:top w:val="none" w:sz="0" w:space="0" w:color="auto"/>
        <w:left w:val="none" w:sz="0" w:space="0" w:color="auto"/>
        <w:bottom w:val="none" w:sz="0" w:space="0" w:color="auto"/>
        <w:right w:val="none" w:sz="0" w:space="0" w:color="auto"/>
      </w:divBdr>
    </w:div>
    <w:div w:id="1075207394">
      <w:bodyDiv w:val="1"/>
      <w:marLeft w:val="0"/>
      <w:marRight w:val="0"/>
      <w:marTop w:val="0"/>
      <w:marBottom w:val="0"/>
      <w:divBdr>
        <w:top w:val="none" w:sz="0" w:space="0" w:color="auto"/>
        <w:left w:val="none" w:sz="0" w:space="0" w:color="auto"/>
        <w:bottom w:val="none" w:sz="0" w:space="0" w:color="auto"/>
        <w:right w:val="none" w:sz="0" w:space="0" w:color="auto"/>
      </w:divBdr>
    </w:div>
    <w:div w:id="1101335314">
      <w:bodyDiv w:val="1"/>
      <w:marLeft w:val="0"/>
      <w:marRight w:val="0"/>
      <w:marTop w:val="0"/>
      <w:marBottom w:val="0"/>
      <w:divBdr>
        <w:top w:val="none" w:sz="0" w:space="0" w:color="auto"/>
        <w:left w:val="none" w:sz="0" w:space="0" w:color="auto"/>
        <w:bottom w:val="none" w:sz="0" w:space="0" w:color="auto"/>
        <w:right w:val="none" w:sz="0" w:space="0" w:color="auto"/>
      </w:divBdr>
    </w:div>
    <w:div w:id="1102216500">
      <w:bodyDiv w:val="1"/>
      <w:marLeft w:val="0"/>
      <w:marRight w:val="0"/>
      <w:marTop w:val="0"/>
      <w:marBottom w:val="0"/>
      <w:divBdr>
        <w:top w:val="none" w:sz="0" w:space="0" w:color="auto"/>
        <w:left w:val="none" w:sz="0" w:space="0" w:color="auto"/>
        <w:bottom w:val="none" w:sz="0" w:space="0" w:color="auto"/>
        <w:right w:val="none" w:sz="0" w:space="0" w:color="auto"/>
      </w:divBdr>
    </w:div>
    <w:div w:id="1125319658">
      <w:bodyDiv w:val="1"/>
      <w:marLeft w:val="0"/>
      <w:marRight w:val="0"/>
      <w:marTop w:val="0"/>
      <w:marBottom w:val="0"/>
      <w:divBdr>
        <w:top w:val="none" w:sz="0" w:space="0" w:color="auto"/>
        <w:left w:val="none" w:sz="0" w:space="0" w:color="auto"/>
        <w:bottom w:val="none" w:sz="0" w:space="0" w:color="auto"/>
        <w:right w:val="none" w:sz="0" w:space="0" w:color="auto"/>
      </w:divBdr>
    </w:div>
    <w:div w:id="1139691626">
      <w:bodyDiv w:val="1"/>
      <w:marLeft w:val="0"/>
      <w:marRight w:val="0"/>
      <w:marTop w:val="0"/>
      <w:marBottom w:val="0"/>
      <w:divBdr>
        <w:top w:val="none" w:sz="0" w:space="0" w:color="auto"/>
        <w:left w:val="none" w:sz="0" w:space="0" w:color="auto"/>
        <w:bottom w:val="none" w:sz="0" w:space="0" w:color="auto"/>
        <w:right w:val="none" w:sz="0" w:space="0" w:color="auto"/>
      </w:divBdr>
    </w:div>
    <w:div w:id="1145124838">
      <w:bodyDiv w:val="1"/>
      <w:marLeft w:val="0"/>
      <w:marRight w:val="0"/>
      <w:marTop w:val="0"/>
      <w:marBottom w:val="0"/>
      <w:divBdr>
        <w:top w:val="none" w:sz="0" w:space="0" w:color="auto"/>
        <w:left w:val="none" w:sz="0" w:space="0" w:color="auto"/>
        <w:bottom w:val="none" w:sz="0" w:space="0" w:color="auto"/>
        <w:right w:val="none" w:sz="0" w:space="0" w:color="auto"/>
      </w:divBdr>
    </w:div>
    <w:div w:id="1149009703">
      <w:bodyDiv w:val="1"/>
      <w:marLeft w:val="0"/>
      <w:marRight w:val="0"/>
      <w:marTop w:val="0"/>
      <w:marBottom w:val="0"/>
      <w:divBdr>
        <w:top w:val="none" w:sz="0" w:space="0" w:color="auto"/>
        <w:left w:val="none" w:sz="0" w:space="0" w:color="auto"/>
        <w:bottom w:val="none" w:sz="0" w:space="0" w:color="auto"/>
        <w:right w:val="none" w:sz="0" w:space="0" w:color="auto"/>
      </w:divBdr>
    </w:div>
    <w:div w:id="1153568723">
      <w:bodyDiv w:val="1"/>
      <w:marLeft w:val="0"/>
      <w:marRight w:val="0"/>
      <w:marTop w:val="0"/>
      <w:marBottom w:val="0"/>
      <w:divBdr>
        <w:top w:val="none" w:sz="0" w:space="0" w:color="auto"/>
        <w:left w:val="none" w:sz="0" w:space="0" w:color="auto"/>
        <w:bottom w:val="none" w:sz="0" w:space="0" w:color="auto"/>
        <w:right w:val="none" w:sz="0" w:space="0" w:color="auto"/>
      </w:divBdr>
    </w:div>
    <w:div w:id="1162891222">
      <w:bodyDiv w:val="1"/>
      <w:marLeft w:val="0"/>
      <w:marRight w:val="0"/>
      <w:marTop w:val="0"/>
      <w:marBottom w:val="0"/>
      <w:divBdr>
        <w:top w:val="none" w:sz="0" w:space="0" w:color="auto"/>
        <w:left w:val="none" w:sz="0" w:space="0" w:color="auto"/>
        <w:bottom w:val="none" w:sz="0" w:space="0" w:color="auto"/>
        <w:right w:val="none" w:sz="0" w:space="0" w:color="auto"/>
      </w:divBdr>
    </w:div>
    <w:div w:id="1164860544">
      <w:bodyDiv w:val="1"/>
      <w:marLeft w:val="0"/>
      <w:marRight w:val="0"/>
      <w:marTop w:val="0"/>
      <w:marBottom w:val="0"/>
      <w:divBdr>
        <w:top w:val="none" w:sz="0" w:space="0" w:color="auto"/>
        <w:left w:val="none" w:sz="0" w:space="0" w:color="auto"/>
        <w:bottom w:val="none" w:sz="0" w:space="0" w:color="auto"/>
        <w:right w:val="none" w:sz="0" w:space="0" w:color="auto"/>
      </w:divBdr>
    </w:div>
    <w:div w:id="1175070547">
      <w:bodyDiv w:val="1"/>
      <w:marLeft w:val="0"/>
      <w:marRight w:val="0"/>
      <w:marTop w:val="0"/>
      <w:marBottom w:val="0"/>
      <w:divBdr>
        <w:top w:val="none" w:sz="0" w:space="0" w:color="auto"/>
        <w:left w:val="none" w:sz="0" w:space="0" w:color="auto"/>
        <w:bottom w:val="none" w:sz="0" w:space="0" w:color="auto"/>
        <w:right w:val="none" w:sz="0" w:space="0" w:color="auto"/>
      </w:divBdr>
    </w:div>
    <w:div w:id="1225139062">
      <w:bodyDiv w:val="1"/>
      <w:marLeft w:val="0"/>
      <w:marRight w:val="0"/>
      <w:marTop w:val="0"/>
      <w:marBottom w:val="0"/>
      <w:divBdr>
        <w:top w:val="none" w:sz="0" w:space="0" w:color="auto"/>
        <w:left w:val="none" w:sz="0" w:space="0" w:color="auto"/>
        <w:bottom w:val="none" w:sz="0" w:space="0" w:color="auto"/>
        <w:right w:val="none" w:sz="0" w:space="0" w:color="auto"/>
      </w:divBdr>
    </w:div>
    <w:div w:id="1242981369">
      <w:bodyDiv w:val="1"/>
      <w:marLeft w:val="0"/>
      <w:marRight w:val="0"/>
      <w:marTop w:val="0"/>
      <w:marBottom w:val="0"/>
      <w:divBdr>
        <w:top w:val="none" w:sz="0" w:space="0" w:color="auto"/>
        <w:left w:val="none" w:sz="0" w:space="0" w:color="auto"/>
        <w:bottom w:val="none" w:sz="0" w:space="0" w:color="auto"/>
        <w:right w:val="none" w:sz="0" w:space="0" w:color="auto"/>
      </w:divBdr>
    </w:div>
    <w:div w:id="1245651351">
      <w:bodyDiv w:val="1"/>
      <w:marLeft w:val="0"/>
      <w:marRight w:val="0"/>
      <w:marTop w:val="0"/>
      <w:marBottom w:val="0"/>
      <w:divBdr>
        <w:top w:val="none" w:sz="0" w:space="0" w:color="auto"/>
        <w:left w:val="none" w:sz="0" w:space="0" w:color="auto"/>
        <w:bottom w:val="none" w:sz="0" w:space="0" w:color="auto"/>
        <w:right w:val="none" w:sz="0" w:space="0" w:color="auto"/>
      </w:divBdr>
    </w:div>
    <w:div w:id="1254818139">
      <w:bodyDiv w:val="1"/>
      <w:marLeft w:val="0"/>
      <w:marRight w:val="0"/>
      <w:marTop w:val="0"/>
      <w:marBottom w:val="0"/>
      <w:divBdr>
        <w:top w:val="none" w:sz="0" w:space="0" w:color="auto"/>
        <w:left w:val="none" w:sz="0" w:space="0" w:color="auto"/>
        <w:bottom w:val="none" w:sz="0" w:space="0" w:color="auto"/>
        <w:right w:val="none" w:sz="0" w:space="0" w:color="auto"/>
      </w:divBdr>
    </w:div>
    <w:div w:id="1275789323">
      <w:bodyDiv w:val="1"/>
      <w:marLeft w:val="0"/>
      <w:marRight w:val="0"/>
      <w:marTop w:val="0"/>
      <w:marBottom w:val="0"/>
      <w:divBdr>
        <w:top w:val="none" w:sz="0" w:space="0" w:color="auto"/>
        <w:left w:val="none" w:sz="0" w:space="0" w:color="auto"/>
        <w:bottom w:val="none" w:sz="0" w:space="0" w:color="auto"/>
        <w:right w:val="none" w:sz="0" w:space="0" w:color="auto"/>
      </w:divBdr>
    </w:div>
    <w:div w:id="1285455372">
      <w:bodyDiv w:val="1"/>
      <w:marLeft w:val="0"/>
      <w:marRight w:val="0"/>
      <w:marTop w:val="0"/>
      <w:marBottom w:val="0"/>
      <w:divBdr>
        <w:top w:val="none" w:sz="0" w:space="0" w:color="auto"/>
        <w:left w:val="none" w:sz="0" w:space="0" w:color="auto"/>
        <w:bottom w:val="none" w:sz="0" w:space="0" w:color="auto"/>
        <w:right w:val="none" w:sz="0" w:space="0" w:color="auto"/>
      </w:divBdr>
      <w:divsChild>
        <w:div w:id="168717825">
          <w:marLeft w:val="0"/>
          <w:marRight w:val="0"/>
          <w:marTop w:val="0"/>
          <w:marBottom w:val="0"/>
          <w:divBdr>
            <w:top w:val="none" w:sz="0" w:space="0" w:color="auto"/>
            <w:left w:val="none" w:sz="0" w:space="0" w:color="auto"/>
            <w:bottom w:val="none" w:sz="0" w:space="0" w:color="auto"/>
            <w:right w:val="none" w:sz="0" w:space="0" w:color="auto"/>
          </w:divBdr>
        </w:div>
      </w:divsChild>
    </w:div>
    <w:div w:id="1295716464">
      <w:bodyDiv w:val="1"/>
      <w:marLeft w:val="0"/>
      <w:marRight w:val="0"/>
      <w:marTop w:val="0"/>
      <w:marBottom w:val="0"/>
      <w:divBdr>
        <w:top w:val="none" w:sz="0" w:space="0" w:color="auto"/>
        <w:left w:val="none" w:sz="0" w:space="0" w:color="auto"/>
        <w:bottom w:val="none" w:sz="0" w:space="0" w:color="auto"/>
        <w:right w:val="none" w:sz="0" w:space="0" w:color="auto"/>
      </w:divBdr>
    </w:div>
    <w:div w:id="1313296056">
      <w:bodyDiv w:val="1"/>
      <w:marLeft w:val="0"/>
      <w:marRight w:val="0"/>
      <w:marTop w:val="0"/>
      <w:marBottom w:val="0"/>
      <w:divBdr>
        <w:top w:val="none" w:sz="0" w:space="0" w:color="auto"/>
        <w:left w:val="none" w:sz="0" w:space="0" w:color="auto"/>
        <w:bottom w:val="none" w:sz="0" w:space="0" w:color="auto"/>
        <w:right w:val="none" w:sz="0" w:space="0" w:color="auto"/>
      </w:divBdr>
    </w:div>
    <w:div w:id="1319530949">
      <w:bodyDiv w:val="1"/>
      <w:marLeft w:val="0"/>
      <w:marRight w:val="0"/>
      <w:marTop w:val="0"/>
      <w:marBottom w:val="0"/>
      <w:divBdr>
        <w:top w:val="none" w:sz="0" w:space="0" w:color="auto"/>
        <w:left w:val="none" w:sz="0" w:space="0" w:color="auto"/>
        <w:bottom w:val="none" w:sz="0" w:space="0" w:color="auto"/>
        <w:right w:val="none" w:sz="0" w:space="0" w:color="auto"/>
      </w:divBdr>
    </w:div>
    <w:div w:id="1327586692">
      <w:bodyDiv w:val="1"/>
      <w:marLeft w:val="0"/>
      <w:marRight w:val="0"/>
      <w:marTop w:val="0"/>
      <w:marBottom w:val="0"/>
      <w:divBdr>
        <w:top w:val="none" w:sz="0" w:space="0" w:color="auto"/>
        <w:left w:val="none" w:sz="0" w:space="0" w:color="auto"/>
        <w:bottom w:val="none" w:sz="0" w:space="0" w:color="auto"/>
        <w:right w:val="none" w:sz="0" w:space="0" w:color="auto"/>
      </w:divBdr>
    </w:div>
    <w:div w:id="1354574289">
      <w:bodyDiv w:val="1"/>
      <w:marLeft w:val="0"/>
      <w:marRight w:val="0"/>
      <w:marTop w:val="0"/>
      <w:marBottom w:val="0"/>
      <w:divBdr>
        <w:top w:val="none" w:sz="0" w:space="0" w:color="auto"/>
        <w:left w:val="none" w:sz="0" w:space="0" w:color="auto"/>
        <w:bottom w:val="none" w:sz="0" w:space="0" w:color="auto"/>
        <w:right w:val="none" w:sz="0" w:space="0" w:color="auto"/>
      </w:divBdr>
    </w:div>
    <w:div w:id="1355425736">
      <w:bodyDiv w:val="1"/>
      <w:marLeft w:val="0"/>
      <w:marRight w:val="0"/>
      <w:marTop w:val="0"/>
      <w:marBottom w:val="0"/>
      <w:divBdr>
        <w:top w:val="none" w:sz="0" w:space="0" w:color="auto"/>
        <w:left w:val="none" w:sz="0" w:space="0" w:color="auto"/>
        <w:bottom w:val="none" w:sz="0" w:space="0" w:color="auto"/>
        <w:right w:val="none" w:sz="0" w:space="0" w:color="auto"/>
      </w:divBdr>
    </w:div>
    <w:div w:id="1369600277">
      <w:bodyDiv w:val="1"/>
      <w:marLeft w:val="0"/>
      <w:marRight w:val="0"/>
      <w:marTop w:val="0"/>
      <w:marBottom w:val="0"/>
      <w:divBdr>
        <w:top w:val="none" w:sz="0" w:space="0" w:color="auto"/>
        <w:left w:val="none" w:sz="0" w:space="0" w:color="auto"/>
        <w:bottom w:val="none" w:sz="0" w:space="0" w:color="auto"/>
        <w:right w:val="none" w:sz="0" w:space="0" w:color="auto"/>
      </w:divBdr>
    </w:div>
    <w:div w:id="1430008603">
      <w:bodyDiv w:val="1"/>
      <w:marLeft w:val="0"/>
      <w:marRight w:val="0"/>
      <w:marTop w:val="0"/>
      <w:marBottom w:val="0"/>
      <w:divBdr>
        <w:top w:val="none" w:sz="0" w:space="0" w:color="auto"/>
        <w:left w:val="none" w:sz="0" w:space="0" w:color="auto"/>
        <w:bottom w:val="none" w:sz="0" w:space="0" w:color="auto"/>
        <w:right w:val="none" w:sz="0" w:space="0" w:color="auto"/>
      </w:divBdr>
    </w:div>
    <w:div w:id="1436946400">
      <w:bodyDiv w:val="1"/>
      <w:marLeft w:val="0"/>
      <w:marRight w:val="0"/>
      <w:marTop w:val="0"/>
      <w:marBottom w:val="0"/>
      <w:divBdr>
        <w:top w:val="none" w:sz="0" w:space="0" w:color="auto"/>
        <w:left w:val="none" w:sz="0" w:space="0" w:color="auto"/>
        <w:bottom w:val="none" w:sz="0" w:space="0" w:color="auto"/>
        <w:right w:val="none" w:sz="0" w:space="0" w:color="auto"/>
      </w:divBdr>
    </w:div>
    <w:div w:id="1437211356">
      <w:bodyDiv w:val="1"/>
      <w:marLeft w:val="0"/>
      <w:marRight w:val="0"/>
      <w:marTop w:val="0"/>
      <w:marBottom w:val="0"/>
      <w:divBdr>
        <w:top w:val="none" w:sz="0" w:space="0" w:color="auto"/>
        <w:left w:val="none" w:sz="0" w:space="0" w:color="auto"/>
        <w:bottom w:val="none" w:sz="0" w:space="0" w:color="auto"/>
        <w:right w:val="none" w:sz="0" w:space="0" w:color="auto"/>
      </w:divBdr>
    </w:div>
    <w:div w:id="1455519038">
      <w:bodyDiv w:val="1"/>
      <w:marLeft w:val="0"/>
      <w:marRight w:val="0"/>
      <w:marTop w:val="0"/>
      <w:marBottom w:val="0"/>
      <w:divBdr>
        <w:top w:val="none" w:sz="0" w:space="0" w:color="auto"/>
        <w:left w:val="none" w:sz="0" w:space="0" w:color="auto"/>
        <w:bottom w:val="none" w:sz="0" w:space="0" w:color="auto"/>
        <w:right w:val="none" w:sz="0" w:space="0" w:color="auto"/>
      </w:divBdr>
    </w:div>
    <w:div w:id="1466776399">
      <w:bodyDiv w:val="1"/>
      <w:marLeft w:val="0"/>
      <w:marRight w:val="0"/>
      <w:marTop w:val="0"/>
      <w:marBottom w:val="0"/>
      <w:divBdr>
        <w:top w:val="none" w:sz="0" w:space="0" w:color="auto"/>
        <w:left w:val="none" w:sz="0" w:space="0" w:color="auto"/>
        <w:bottom w:val="none" w:sz="0" w:space="0" w:color="auto"/>
        <w:right w:val="none" w:sz="0" w:space="0" w:color="auto"/>
      </w:divBdr>
    </w:div>
    <w:div w:id="1471483367">
      <w:bodyDiv w:val="1"/>
      <w:marLeft w:val="0"/>
      <w:marRight w:val="0"/>
      <w:marTop w:val="0"/>
      <w:marBottom w:val="0"/>
      <w:divBdr>
        <w:top w:val="none" w:sz="0" w:space="0" w:color="auto"/>
        <w:left w:val="none" w:sz="0" w:space="0" w:color="auto"/>
        <w:bottom w:val="none" w:sz="0" w:space="0" w:color="auto"/>
        <w:right w:val="none" w:sz="0" w:space="0" w:color="auto"/>
      </w:divBdr>
    </w:div>
    <w:div w:id="1493059434">
      <w:bodyDiv w:val="1"/>
      <w:marLeft w:val="0"/>
      <w:marRight w:val="0"/>
      <w:marTop w:val="0"/>
      <w:marBottom w:val="0"/>
      <w:divBdr>
        <w:top w:val="none" w:sz="0" w:space="0" w:color="auto"/>
        <w:left w:val="none" w:sz="0" w:space="0" w:color="auto"/>
        <w:bottom w:val="none" w:sz="0" w:space="0" w:color="auto"/>
        <w:right w:val="none" w:sz="0" w:space="0" w:color="auto"/>
      </w:divBdr>
    </w:div>
    <w:div w:id="1494226193">
      <w:bodyDiv w:val="1"/>
      <w:marLeft w:val="0"/>
      <w:marRight w:val="0"/>
      <w:marTop w:val="0"/>
      <w:marBottom w:val="0"/>
      <w:divBdr>
        <w:top w:val="none" w:sz="0" w:space="0" w:color="auto"/>
        <w:left w:val="none" w:sz="0" w:space="0" w:color="auto"/>
        <w:bottom w:val="none" w:sz="0" w:space="0" w:color="auto"/>
        <w:right w:val="none" w:sz="0" w:space="0" w:color="auto"/>
      </w:divBdr>
    </w:div>
    <w:div w:id="1536890841">
      <w:bodyDiv w:val="1"/>
      <w:marLeft w:val="0"/>
      <w:marRight w:val="0"/>
      <w:marTop w:val="0"/>
      <w:marBottom w:val="0"/>
      <w:divBdr>
        <w:top w:val="none" w:sz="0" w:space="0" w:color="auto"/>
        <w:left w:val="none" w:sz="0" w:space="0" w:color="auto"/>
        <w:bottom w:val="none" w:sz="0" w:space="0" w:color="auto"/>
        <w:right w:val="none" w:sz="0" w:space="0" w:color="auto"/>
      </w:divBdr>
    </w:div>
    <w:div w:id="1543516769">
      <w:bodyDiv w:val="1"/>
      <w:marLeft w:val="0"/>
      <w:marRight w:val="0"/>
      <w:marTop w:val="0"/>
      <w:marBottom w:val="0"/>
      <w:divBdr>
        <w:top w:val="none" w:sz="0" w:space="0" w:color="auto"/>
        <w:left w:val="none" w:sz="0" w:space="0" w:color="auto"/>
        <w:bottom w:val="none" w:sz="0" w:space="0" w:color="auto"/>
        <w:right w:val="none" w:sz="0" w:space="0" w:color="auto"/>
      </w:divBdr>
    </w:div>
    <w:div w:id="1555118843">
      <w:bodyDiv w:val="1"/>
      <w:marLeft w:val="0"/>
      <w:marRight w:val="0"/>
      <w:marTop w:val="0"/>
      <w:marBottom w:val="0"/>
      <w:divBdr>
        <w:top w:val="none" w:sz="0" w:space="0" w:color="auto"/>
        <w:left w:val="none" w:sz="0" w:space="0" w:color="auto"/>
        <w:bottom w:val="none" w:sz="0" w:space="0" w:color="auto"/>
        <w:right w:val="none" w:sz="0" w:space="0" w:color="auto"/>
      </w:divBdr>
    </w:div>
    <w:div w:id="1555434267">
      <w:bodyDiv w:val="1"/>
      <w:marLeft w:val="0"/>
      <w:marRight w:val="0"/>
      <w:marTop w:val="0"/>
      <w:marBottom w:val="0"/>
      <w:divBdr>
        <w:top w:val="none" w:sz="0" w:space="0" w:color="auto"/>
        <w:left w:val="none" w:sz="0" w:space="0" w:color="auto"/>
        <w:bottom w:val="none" w:sz="0" w:space="0" w:color="auto"/>
        <w:right w:val="none" w:sz="0" w:space="0" w:color="auto"/>
      </w:divBdr>
    </w:div>
    <w:div w:id="1577591173">
      <w:bodyDiv w:val="1"/>
      <w:marLeft w:val="0"/>
      <w:marRight w:val="0"/>
      <w:marTop w:val="0"/>
      <w:marBottom w:val="0"/>
      <w:divBdr>
        <w:top w:val="none" w:sz="0" w:space="0" w:color="auto"/>
        <w:left w:val="none" w:sz="0" w:space="0" w:color="auto"/>
        <w:bottom w:val="none" w:sz="0" w:space="0" w:color="auto"/>
        <w:right w:val="none" w:sz="0" w:space="0" w:color="auto"/>
      </w:divBdr>
    </w:div>
    <w:div w:id="1688363555">
      <w:bodyDiv w:val="1"/>
      <w:marLeft w:val="0"/>
      <w:marRight w:val="0"/>
      <w:marTop w:val="0"/>
      <w:marBottom w:val="0"/>
      <w:divBdr>
        <w:top w:val="none" w:sz="0" w:space="0" w:color="auto"/>
        <w:left w:val="none" w:sz="0" w:space="0" w:color="auto"/>
        <w:bottom w:val="none" w:sz="0" w:space="0" w:color="auto"/>
        <w:right w:val="none" w:sz="0" w:space="0" w:color="auto"/>
      </w:divBdr>
    </w:div>
    <w:div w:id="1711881446">
      <w:bodyDiv w:val="1"/>
      <w:marLeft w:val="0"/>
      <w:marRight w:val="0"/>
      <w:marTop w:val="0"/>
      <w:marBottom w:val="0"/>
      <w:divBdr>
        <w:top w:val="none" w:sz="0" w:space="0" w:color="auto"/>
        <w:left w:val="none" w:sz="0" w:space="0" w:color="auto"/>
        <w:bottom w:val="none" w:sz="0" w:space="0" w:color="auto"/>
        <w:right w:val="none" w:sz="0" w:space="0" w:color="auto"/>
      </w:divBdr>
    </w:div>
    <w:div w:id="1759600575">
      <w:bodyDiv w:val="1"/>
      <w:marLeft w:val="0"/>
      <w:marRight w:val="0"/>
      <w:marTop w:val="0"/>
      <w:marBottom w:val="0"/>
      <w:divBdr>
        <w:top w:val="none" w:sz="0" w:space="0" w:color="auto"/>
        <w:left w:val="none" w:sz="0" w:space="0" w:color="auto"/>
        <w:bottom w:val="none" w:sz="0" w:space="0" w:color="auto"/>
        <w:right w:val="none" w:sz="0" w:space="0" w:color="auto"/>
      </w:divBdr>
    </w:div>
    <w:div w:id="1765223377">
      <w:bodyDiv w:val="1"/>
      <w:marLeft w:val="0"/>
      <w:marRight w:val="0"/>
      <w:marTop w:val="0"/>
      <w:marBottom w:val="0"/>
      <w:divBdr>
        <w:top w:val="none" w:sz="0" w:space="0" w:color="auto"/>
        <w:left w:val="none" w:sz="0" w:space="0" w:color="auto"/>
        <w:bottom w:val="none" w:sz="0" w:space="0" w:color="auto"/>
        <w:right w:val="none" w:sz="0" w:space="0" w:color="auto"/>
      </w:divBdr>
    </w:div>
    <w:div w:id="1783305424">
      <w:bodyDiv w:val="1"/>
      <w:marLeft w:val="0"/>
      <w:marRight w:val="0"/>
      <w:marTop w:val="0"/>
      <w:marBottom w:val="0"/>
      <w:divBdr>
        <w:top w:val="none" w:sz="0" w:space="0" w:color="auto"/>
        <w:left w:val="none" w:sz="0" w:space="0" w:color="auto"/>
        <w:bottom w:val="none" w:sz="0" w:space="0" w:color="auto"/>
        <w:right w:val="none" w:sz="0" w:space="0" w:color="auto"/>
      </w:divBdr>
    </w:div>
    <w:div w:id="1787775483">
      <w:bodyDiv w:val="1"/>
      <w:marLeft w:val="0"/>
      <w:marRight w:val="0"/>
      <w:marTop w:val="0"/>
      <w:marBottom w:val="0"/>
      <w:divBdr>
        <w:top w:val="none" w:sz="0" w:space="0" w:color="auto"/>
        <w:left w:val="none" w:sz="0" w:space="0" w:color="auto"/>
        <w:bottom w:val="none" w:sz="0" w:space="0" w:color="auto"/>
        <w:right w:val="none" w:sz="0" w:space="0" w:color="auto"/>
      </w:divBdr>
    </w:div>
    <w:div w:id="1792355386">
      <w:bodyDiv w:val="1"/>
      <w:marLeft w:val="0"/>
      <w:marRight w:val="0"/>
      <w:marTop w:val="0"/>
      <w:marBottom w:val="0"/>
      <w:divBdr>
        <w:top w:val="none" w:sz="0" w:space="0" w:color="auto"/>
        <w:left w:val="none" w:sz="0" w:space="0" w:color="auto"/>
        <w:bottom w:val="none" w:sz="0" w:space="0" w:color="auto"/>
        <w:right w:val="none" w:sz="0" w:space="0" w:color="auto"/>
      </w:divBdr>
    </w:div>
    <w:div w:id="1796945529">
      <w:bodyDiv w:val="1"/>
      <w:marLeft w:val="0"/>
      <w:marRight w:val="0"/>
      <w:marTop w:val="0"/>
      <w:marBottom w:val="0"/>
      <w:divBdr>
        <w:top w:val="none" w:sz="0" w:space="0" w:color="auto"/>
        <w:left w:val="none" w:sz="0" w:space="0" w:color="auto"/>
        <w:bottom w:val="none" w:sz="0" w:space="0" w:color="auto"/>
        <w:right w:val="none" w:sz="0" w:space="0" w:color="auto"/>
      </w:divBdr>
    </w:div>
    <w:div w:id="1806509993">
      <w:bodyDiv w:val="1"/>
      <w:marLeft w:val="0"/>
      <w:marRight w:val="0"/>
      <w:marTop w:val="0"/>
      <w:marBottom w:val="0"/>
      <w:divBdr>
        <w:top w:val="none" w:sz="0" w:space="0" w:color="auto"/>
        <w:left w:val="none" w:sz="0" w:space="0" w:color="auto"/>
        <w:bottom w:val="none" w:sz="0" w:space="0" w:color="auto"/>
        <w:right w:val="none" w:sz="0" w:space="0" w:color="auto"/>
      </w:divBdr>
    </w:div>
    <w:div w:id="1834486888">
      <w:bodyDiv w:val="1"/>
      <w:marLeft w:val="0"/>
      <w:marRight w:val="0"/>
      <w:marTop w:val="0"/>
      <w:marBottom w:val="0"/>
      <w:divBdr>
        <w:top w:val="none" w:sz="0" w:space="0" w:color="auto"/>
        <w:left w:val="none" w:sz="0" w:space="0" w:color="auto"/>
        <w:bottom w:val="none" w:sz="0" w:space="0" w:color="auto"/>
        <w:right w:val="none" w:sz="0" w:space="0" w:color="auto"/>
      </w:divBdr>
    </w:div>
    <w:div w:id="1854605149">
      <w:bodyDiv w:val="1"/>
      <w:marLeft w:val="0"/>
      <w:marRight w:val="0"/>
      <w:marTop w:val="0"/>
      <w:marBottom w:val="0"/>
      <w:divBdr>
        <w:top w:val="none" w:sz="0" w:space="0" w:color="auto"/>
        <w:left w:val="none" w:sz="0" w:space="0" w:color="auto"/>
        <w:bottom w:val="none" w:sz="0" w:space="0" w:color="auto"/>
        <w:right w:val="none" w:sz="0" w:space="0" w:color="auto"/>
      </w:divBdr>
    </w:div>
    <w:div w:id="1861816941">
      <w:bodyDiv w:val="1"/>
      <w:marLeft w:val="0"/>
      <w:marRight w:val="0"/>
      <w:marTop w:val="0"/>
      <w:marBottom w:val="0"/>
      <w:divBdr>
        <w:top w:val="none" w:sz="0" w:space="0" w:color="auto"/>
        <w:left w:val="none" w:sz="0" w:space="0" w:color="auto"/>
        <w:bottom w:val="none" w:sz="0" w:space="0" w:color="auto"/>
        <w:right w:val="none" w:sz="0" w:space="0" w:color="auto"/>
      </w:divBdr>
    </w:div>
    <w:div w:id="1861972946">
      <w:bodyDiv w:val="1"/>
      <w:marLeft w:val="0"/>
      <w:marRight w:val="0"/>
      <w:marTop w:val="0"/>
      <w:marBottom w:val="0"/>
      <w:divBdr>
        <w:top w:val="none" w:sz="0" w:space="0" w:color="auto"/>
        <w:left w:val="none" w:sz="0" w:space="0" w:color="auto"/>
        <w:bottom w:val="none" w:sz="0" w:space="0" w:color="auto"/>
        <w:right w:val="none" w:sz="0" w:space="0" w:color="auto"/>
      </w:divBdr>
    </w:div>
    <w:div w:id="1917787235">
      <w:bodyDiv w:val="1"/>
      <w:marLeft w:val="0"/>
      <w:marRight w:val="0"/>
      <w:marTop w:val="0"/>
      <w:marBottom w:val="0"/>
      <w:divBdr>
        <w:top w:val="none" w:sz="0" w:space="0" w:color="auto"/>
        <w:left w:val="none" w:sz="0" w:space="0" w:color="auto"/>
        <w:bottom w:val="none" w:sz="0" w:space="0" w:color="auto"/>
        <w:right w:val="none" w:sz="0" w:space="0" w:color="auto"/>
      </w:divBdr>
    </w:div>
    <w:div w:id="1930918649">
      <w:bodyDiv w:val="1"/>
      <w:marLeft w:val="0"/>
      <w:marRight w:val="0"/>
      <w:marTop w:val="0"/>
      <w:marBottom w:val="0"/>
      <w:divBdr>
        <w:top w:val="none" w:sz="0" w:space="0" w:color="auto"/>
        <w:left w:val="none" w:sz="0" w:space="0" w:color="auto"/>
        <w:bottom w:val="none" w:sz="0" w:space="0" w:color="auto"/>
        <w:right w:val="none" w:sz="0" w:space="0" w:color="auto"/>
      </w:divBdr>
    </w:div>
    <w:div w:id="1963337623">
      <w:bodyDiv w:val="1"/>
      <w:marLeft w:val="0"/>
      <w:marRight w:val="0"/>
      <w:marTop w:val="0"/>
      <w:marBottom w:val="0"/>
      <w:divBdr>
        <w:top w:val="none" w:sz="0" w:space="0" w:color="auto"/>
        <w:left w:val="none" w:sz="0" w:space="0" w:color="auto"/>
        <w:bottom w:val="none" w:sz="0" w:space="0" w:color="auto"/>
        <w:right w:val="none" w:sz="0" w:space="0" w:color="auto"/>
      </w:divBdr>
    </w:div>
    <w:div w:id="1971933885">
      <w:bodyDiv w:val="1"/>
      <w:marLeft w:val="0"/>
      <w:marRight w:val="0"/>
      <w:marTop w:val="0"/>
      <w:marBottom w:val="0"/>
      <w:divBdr>
        <w:top w:val="none" w:sz="0" w:space="0" w:color="auto"/>
        <w:left w:val="none" w:sz="0" w:space="0" w:color="auto"/>
        <w:bottom w:val="none" w:sz="0" w:space="0" w:color="auto"/>
        <w:right w:val="none" w:sz="0" w:space="0" w:color="auto"/>
      </w:divBdr>
    </w:div>
    <w:div w:id="1980726656">
      <w:bodyDiv w:val="1"/>
      <w:marLeft w:val="0"/>
      <w:marRight w:val="0"/>
      <w:marTop w:val="0"/>
      <w:marBottom w:val="0"/>
      <w:divBdr>
        <w:top w:val="none" w:sz="0" w:space="0" w:color="auto"/>
        <w:left w:val="none" w:sz="0" w:space="0" w:color="auto"/>
        <w:bottom w:val="none" w:sz="0" w:space="0" w:color="auto"/>
        <w:right w:val="none" w:sz="0" w:space="0" w:color="auto"/>
      </w:divBdr>
    </w:div>
    <w:div w:id="1981107246">
      <w:bodyDiv w:val="1"/>
      <w:marLeft w:val="0"/>
      <w:marRight w:val="0"/>
      <w:marTop w:val="0"/>
      <w:marBottom w:val="0"/>
      <w:divBdr>
        <w:top w:val="none" w:sz="0" w:space="0" w:color="auto"/>
        <w:left w:val="none" w:sz="0" w:space="0" w:color="auto"/>
        <w:bottom w:val="none" w:sz="0" w:space="0" w:color="auto"/>
        <w:right w:val="none" w:sz="0" w:space="0" w:color="auto"/>
      </w:divBdr>
    </w:div>
    <w:div w:id="2087146502">
      <w:bodyDiv w:val="1"/>
      <w:marLeft w:val="0"/>
      <w:marRight w:val="0"/>
      <w:marTop w:val="0"/>
      <w:marBottom w:val="0"/>
      <w:divBdr>
        <w:top w:val="none" w:sz="0" w:space="0" w:color="auto"/>
        <w:left w:val="none" w:sz="0" w:space="0" w:color="auto"/>
        <w:bottom w:val="none" w:sz="0" w:space="0" w:color="auto"/>
        <w:right w:val="none" w:sz="0" w:space="0" w:color="auto"/>
      </w:divBdr>
    </w:div>
    <w:div w:id="2101873386">
      <w:bodyDiv w:val="1"/>
      <w:marLeft w:val="0"/>
      <w:marRight w:val="0"/>
      <w:marTop w:val="0"/>
      <w:marBottom w:val="0"/>
      <w:divBdr>
        <w:top w:val="none" w:sz="0" w:space="0" w:color="auto"/>
        <w:left w:val="none" w:sz="0" w:space="0" w:color="auto"/>
        <w:bottom w:val="none" w:sz="0" w:space="0" w:color="auto"/>
        <w:right w:val="none" w:sz="0" w:space="0" w:color="auto"/>
      </w:divBdr>
      <w:divsChild>
        <w:div w:id="2134058664">
          <w:marLeft w:val="0"/>
          <w:marRight w:val="0"/>
          <w:marTop w:val="0"/>
          <w:marBottom w:val="0"/>
          <w:divBdr>
            <w:top w:val="none" w:sz="0" w:space="0" w:color="auto"/>
            <w:left w:val="none" w:sz="0" w:space="0" w:color="auto"/>
            <w:bottom w:val="none" w:sz="0" w:space="0" w:color="auto"/>
            <w:right w:val="none" w:sz="0" w:space="0" w:color="auto"/>
          </w:divBdr>
        </w:div>
      </w:divsChild>
    </w:div>
    <w:div w:id="2114084006">
      <w:bodyDiv w:val="1"/>
      <w:marLeft w:val="0"/>
      <w:marRight w:val="0"/>
      <w:marTop w:val="0"/>
      <w:marBottom w:val="0"/>
      <w:divBdr>
        <w:top w:val="none" w:sz="0" w:space="0" w:color="auto"/>
        <w:left w:val="none" w:sz="0" w:space="0" w:color="auto"/>
        <w:bottom w:val="none" w:sz="0" w:space="0" w:color="auto"/>
        <w:right w:val="none" w:sz="0" w:space="0" w:color="auto"/>
      </w:divBdr>
    </w:div>
    <w:div w:id="2123331350">
      <w:bodyDiv w:val="1"/>
      <w:marLeft w:val="0"/>
      <w:marRight w:val="0"/>
      <w:marTop w:val="0"/>
      <w:marBottom w:val="0"/>
      <w:divBdr>
        <w:top w:val="none" w:sz="0" w:space="0" w:color="auto"/>
        <w:left w:val="none" w:sz="0" w:space="0" w:color="auto"/>
        <w:bottom w:val="none" w:sz="0" w:space="0" w:color="auto"/>
        <w:right w:val="none" w:sz="0" w:space="0" w:color="auto"/>
      </w:divBdr>
    </w:div>
    <w:div w:id="2134326009">
      <w:bodyDiv w:val="1"/>
      <w:marLeft w:val="0"/>
      <w:marRight w:val="0"/>
      <w:marTop w:val="0"/>
      <w:marBottom w:val="0"/>
      <w:divBdr>
        <w:top w:val="none" w:sz="0" w:space="0" w:color="auto"/>
        <w:left w:val="none" w:sz="0" w:space="0" w:color="auto"/>
        <w:bottom w:val="none" w:sz="0" w:space="0" w:color="auto"/>
        <w:right w:val="none" w:sz="0" w:space="0" w:color="auto"/>
      </w:divBdr>
    </w:div>
    <w:div w:id="21455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751E-78B7-4150-8242-EA1A07F5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3018</Words>
  <Characters>17209</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IRIS CORPORATION BERHAD</vt:lpstr>
    </vt:vector>
  </TitlesOfParts>
  <Company>IRIS</Company>
  <LinksUpToDate>false</LinksUpToDate>
  <CharactersWithSpaces>20187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CORPORATION BERHAD</dc:title>
  <dc:creator>Michelle</dc:creator>
  <cp:lastModifiedBy>marcus1</cp:lastModifiedBy>
  <cp:revision>2</cp:revision>
  <cp:lastPrinted>2015-11-30T05:48:00Z</cp:lastPrinted>
  <dcterms:created xsi:type="dcterms:W3CDTF">2015-11-30T08:50:00Z</dcterms:created>
  <dcterms:modified xsi:type="dcterms:W3CDTF">2015-11-30T08:50:00Z</dcterms:modified>
</cp:coreProperties>
</file>